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32097D" w14:textId="5C42A6AF" w:rsidR="005665FF" w:rsidRPr="005665FF" w:rsidRDefault="005665FF" w:rsidP="005665FF">
      <w:pPr>
        <w:spacing w:before="100" w:beforeAutospacing="1" w:after="100" w:afterAutospacing="1" w:line="240" w:lineRule="auto"/>
        <w:rPr>
          <w:rFonts w:ascii="Times New Roman" w:eastAsia="Times New Roman" w:hAnsi="Times New Roman" w:cs="Times New Roman"/>
          <w:color w:val="FF0000"/>
          <w:sz w:val="28"/>
          <w:szCs w:val="28"/>
        </w:rPr>
      </w:pPr>
      <w:bookmarkStart w:id="0" w:name="_top"/>
      <w:bookmarkEnd w:id="0"/>
      <w:r w:rsidRPr="005665FF">
        <w:rPr>
          <w:rFonts w:ascii="Times New Roman" w:eastAsia="Times New Roman" w:hAnsi="Times New Roman" w:cs="Times New Roman"/>
          <w:b/>
          <w:bCs/>
          <w:color w:val="FF0000"/>
          <w:sz w:val="28"/>
          <w:szCs w:val="28"/>
        </w:rPr>
        <w:t>New research on development issues in Vietnam</w:t>
      </w:r>
      <w:r w:rsidRPr="005665FF">
        <w:rPr>
          <w:rFonts w:ascii="Times New Roman" w:eastAsia="Times New Roman" w:hAnsi="Times New Roman" w:cs="Times New Roman"/>
          <w:color w:val="FF0000"/>
          <w:sz w:val="28"/>
          <w:szCs w:val="28"/>
        </w:rPr>
        <w:t xml:space="preserve"> - </w:t>
      </w:r>
      <w:r w:rsidRPr="005665FF">
        <w:rPr>
          <w:rFonts w:ascii="Times New Roman" w:eastAsia="Times New Roman" w:hAnsi="Times New Roman" w:cs="Times New Roman"/>
          <w:b/>
          <w:bCs/>
          <w:color w:val="FF0000"/>
          <w:sz w:val="28"/>
          <w:szCs w:val="28"/>
        </w:rPr>
        <w:t>Volume 11, number 2 (2019 February)</w:t>
      </w:r>
    </w:p>
    <w:p w14:paraId="6CA3069B"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r w:rsidRPr="005665FF">
        <w:rPr>
          <w:rFonts w:ascii="Times New Roman" w:eastAsia="Times New Roman" w:hAnsi="Times New Roman" w:cs="Times New Roman"/>
          <w:sz w:val="24"/>
          <w:szCs w:val="24"/>
        </w:rPr>
        <w:t> </w:t>
      </w:r>
    </w:p>
    <w:p w14:paraId="45414E70"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009" w:history="1">
        <w:r w:rsidRPr="005665FF">
          <w:rPr>
            <w:rFonts w:ascii="Times New Roman" w:eastAsia="Times New Roman" w:hAnsi="Times New Roman" w:cs="Times New Roman"/>
            <w:color w:val="0000FF"/>
            <w:sz w:val="24"/>
            <w:szCs w:val="24"/>
            <w:u w:val="single"/>
          </w:rPr>
          <w:t>AGRICULTURE AND</w:t>
        </w:r>
        <w:r w:rsidRPr="005665FF">
          <w:rPr>
            <w:rFonts w:ascii="Times New Roman" w:eastAsia="Times New Roman" w:hAnsi="Times New Roman" w:cs="Times New Roman"/>
            <w:color w:val="0000FF"/>
            <w:sz w:val="24"/>
            <w:szCs w:val="24"/>
            <w:u w:val="single"/>
          </w:rPr>
          <w:t xml:space="preserve"> </w:t>
        </w:r>
        <w:r w:rsidRPr="005665FF">
          <w:rPr>
            <w:rFonts w:ascii="Times New Roman" w:eastAsia="Times New Roman" w:hAnsi="Times New Roman" w:cs="Times New Roman"/>
            <w:color w:val="0000FF"/>
            <w:sz w:val="24"/>
            <w:szCs w:val="24"/>
            <w:u w:val="single"/>
          </w:rPr>
          <w:t>RURAL DEVELOPMENT</w:t>
        </w:r>
      </w:hyperlink>
    </w:p>
    <w:p w14:paraId="756AE857"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10" w:history="1">
        <w:r w:rsidRPr="005665FF">
          <w:rPr>
            <w:rFonts w:ascii="Times New Roman" w:eastAsia="Times New Roman" w:hAnsi="Times New Roman" w:cs="Times New Roman"/>
            <w:color w:val="0000FF"/>
            <w:sz w:val="24"/>
            <w:szCs w:val="24"/>
            <w:u w:val="single"/>
          </w:rPr>
          <w:t xml:space="preserve">Assessment of Impacts of Climate Change on Agriculture and Fisheries in the Coastal Areas of </w:t>
        </w:r>
        <w:proofErr w:type="spellStart"/>
        <w:r w:rsidRPr="005665FF">
          <w:rPr>
            <w:rFonts w:ascii="Times New Roman" w:eastAsia="Times New Roman" w:hAnsi="Times New Roman" w:cs="Times New Roman"/>
            <w:color w:val="0000FF"/>
            <w:sz w:val="24"/>
            <w:szCs w:val="24"/>
            <w:u w:val="single"/>
          </w:rPr>
          <w:t>Thua</w:t>
        </w:r>
        <w:proofErr w:type="spellEnd"/>
        <w:r w:rsidRPr="005665FF">
          <w:rPr>
            <w:rFonts w:ascii="Times New Roman" w:eastAsia="Times New Roman" w:hAnsi="Times New Roman" w:cs="Times New Roman"/>
            <w:color w:val="0000FF"/>
            <w:sz w:val="24"/>
            <w:szCs w:val="24"/>
            <w:u w:val="single"/>
          </w:rPr>
          <w:t xml:space="preserve"> </w:t>
        </w:r>
        <w:proofErr w:type="spellStart"/>
        <w:r w:rsidRPr="005665FF">
          <w:rPr>
            <w:rFonts w:ascii="Times New Roman" w:eastAsia="Times New Roman" w:hAnsi="Times New Roman" w:cs="Times New Roman"/>
            <w:color w:val="0000FF"/>
            <w:sz w:val="24"/>
            <w:szCs w:val="24"/>
            <w:u w:val="single"/>
          </w:rPr>
          <w:t>Thien</w:t>
        </w:r>
        <w:proofErr w:type="spellEnd"/>
        <w:r w:rsidRPr="005665FF">
          <w:rPr>
            <w:rFonts w:ascii="Times New Roman" w:eastAsia="Times New Roman" w:hAnsi="Times New Roman" w:cs="Times New Roman"/>
            <w:color w:val="0000FF"/>
            <w:sz w:val="24"/>
            <w:szCs w:val="24"/>
            <w:u w:val="single"/>
          </w:rPr>
          <w:t xml:space="preserve"> Hue Province, Vietnam.</w:t>
        </w:r>
      </w:hyperlink>
    </w:p>
    <w:p w14:paraId="216040A7"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11" w:history="1">
        <w:r w:rsidRPr="005665FF">
          <w:rPr>
            <w:rFonts w:ascii="Times New Roman" w:eastAsia="Times New Roman" w:hAnsi="Times New Roman" w:cs="Times New Roman"/>
            <w:color w:val="0000FF"/>
            <w:sz w:val="24"/>
            <w:szCs w:val="24"/>
            <w:u w:val="single"/>
          </w:rPr>
          <w:t xml:space="preserve">Enhancing the marketing capacity of agricultural cooperatives in </w:t>
        </w:r>
        <w:proofErr w:type="spellStart"/>
        <w:r w:rsidRPr="005665FF">
          <w:rPr>
            <w:rFonts w:ascii="Times New Roman" w:eastAsia="Times New Roman" w:hAnsi="Times New Roman" w:cs="Times New Roman"/>
            <w:color w:val="0000FF"/>
            <w:sz w:val="24"/>
            <w:szCs w:val="24"/>
            <w:u w:val="single"/>
          </w:rPr>
          <w:t>Hoa</w:t>
        </w:r>
        <w:proofErr w:type="spellEnd"/>
        <w:r w:rsidRPr="005665FF">
          <w:rPr>
            <w:rFonts w:ascii="Times New Roman" w:eastAsia="Times New Roman" w:hAnsi="Times New Roman" w:cs="Times New Roman"/>
            <w:color w:val="0000FF"/>
            <w:sz w:val="24"/>
            <w:szCs w:val="24"/>
            <w:u w:val="single"/>
          </w:rPr>
          <w:t xml:space="preserve"> </w:t>
        </w:r>
        <w:proofErr w:type="spellStart"/>
        <w:r w:rsidRPr="005665FF">
          <w:rPr>
            <w:rFonts w:ascii="Times New Roman" w:eastAsia="Times New Roman" w:hAnsi="Times New Roman" w:cs="Times New Roman"/>
            <w:color w:val="0000FF"/>
            <w:sz w:val="24"/>
            <w:szCs w:val="24"/>
            <w:u w:val="single"/>
          </w:rPr>
          <w:t>Vang</w:t>
        </w:r>
        <w:proofErr w:type="spellEnd"/>
        <w:r w:rsidRPr="005665FF">
          <w:rPr>
            <w:rFonts w:ascii="Times New Roman" w:eastAsia="Times New Roman" w:hAnsi="Times New Roman" w:cs="Times New Roman"/>
            <w:color w:val="0000FF"/>
            <w:sz w:val="24"/>
            <w:szCs w:val="24"/>
            <w:u w:val="single"/>
          </w:rPr>
          <w:t xml:space="preserve"> District, Da Nang City, Vietnam.</w:t>
        </w:r>
      </w:hyperlink>
    </w:p>
    <w:p w14:paraId="049D01A4"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12" w:history="1">
        <w:r w:rsidRPr="005665FF">
          <w:rPr>
            <w:rFonts w:ascii="Times New Roman" w:eastAsia="Times New Roman" w:hAnsi="Times New Roman" w:cs="Times New Roman"/>
            <w:color w:val="0000FF"/>
            <w:sz w:val="24"/>
            <w:szCs w:val="24"/>
            <w:u w:val="single"/>
          </w:rPr>
          <w:t xml:space="preserve">Untapped Potential: Agricultural Social Networks as the future of Karst Science Communication in </w:t>
        </w:r>
        <w:proofErr w:type="spellStart"/>
        <w:r w:rsidRPr="005665FF">
          <w:rPr>
            <w:rFonts w:ascii="Times New Roman" w:eastAsia="Times New Roman" w:hAnsi="Times New Roman" w:cs="Times New Roman"/>
            <w:color w:val="0000FF"/>
            <w:sz w:val="24"/>
            <w:szCs w:val="24"/>
            <w:u w:val="single"/>
          </w:rPr>
          <w:t>Phong</w:t>
        </w:r>
        <w:proofErr w:type="spellEnd"/>
        <w:r w:rsidRPr="005665FF">
          <w:rPr>
            <w:rFonts w:ascii="Times New Roman" w:eastAsia="Times New Roman" w:hAnsi="Times New Roman" w:cs="Times New Roman"/>
            <w:color w:val="0000FF"/>
            <w:sz w:val="24"/>
            <w:szCs w:val="24"/>
            <w:u w:val="single"/>
          </w:rPr>
          <w:t xml:space="preserve"> </w:t>
        </w:r>
        <w:proofErr w:type="spellStart"/>
        <w:r w:rsidRPr="005665FF">
          <w:rPr>
            <w:rFonts w:ascii="Times New Roman" w:eastAsia="Times New Roman" w:hAnsi="Times New Roman" w:cs="Times New Roman"/>
            <w:color w:val="0000FF"/>
            <w:sz w:val="24"/>
            <w:szCs w:val="24"/>
            <w:u w:val="single"/>
          </w:rPr>
          <w:t>Nha-Ke</w:t>
        </w:r>
        <w:proofErr w:type="spellEnd"/>
        <w:r w:rsidRPr="005665FF">
          <w:rPr>
            <w:rFonts w:ascii="Times New Roman" w:eastAsia="Times New Roman" w:hAnsi="Times New Roman" w:cs="Times New Roman"/>
            <w:color w:val="0000FF"/>
            <w:sz w:val="24"/>
            <w:szCs w:val="24"/>
            <w:u w:val="single"/>
          </w:rPr>
          <w:t xml:space="preserve"> Bang National Park, Vietnam.</w:t>
        </w:r>
      </w:hyperlink>
    </w:p>
    <w:p w14:paraId="1654A22F"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13" w:history="1">
        <w:r w:rsidRPr="005665FF">
          <w:rPr>
            <w:rFonts w:ascii="Times New Roman" w:eastAsia="Times New Roman" w:hAnsi="Times New Roman" w:cs="Times New Roman"/>
            <w:color w:val="0000FF"/>
            <w:sz w:val="24"/>
            <w:szCs w:val="24"/>
            <w:u w:val="single"/>
          </w:rPr>
          <w:t>Adaptation Options for Rice-Based Cropping Systems in Climate Risk-Prone Provinces in the Mekong River Delta: An Assessment Report.</w:t>
        </w:r>
      </w:hyperlink>
    </w:p>
    <w:p w14:paraId="47DEA1FE"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14" w:history="1">
        <w:r w:rsidRPr="005665FF">
          <w:rPr>
            <w:rFonts w:ascii="Times New Roman" w:eastAsia="Times New Roman" w:hAnsi="Times New Roman" w:cs="Times New Roman"/>
            <w:color w:val="0000FF"/>
            <w:sz w:val="24"/>
            <w:szCs w:val="24"/>
            <w:u w:val="single"/>
          </w:rPr>
          <w:t>Individual-level employment transitions in rural Viet Nam.</w:t>
        </w:r>
      </w:hyperlink>
    </w:p>
    <w:p w14:paraId="42F95A99"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15" w:history="1">
        <w:r w:rsidRPr="005665FF">
          <w:rPr>
            <w:rFonts w:ascii="Times New Roman" w:eastAsia="Times New Roman" w:hAnsi="Times New Roman" w:cs="Times New Roman"/>
            <w:color w:val="0000FF"/>
            <w:sz w:val="24"/>
            <w:szCs w:val="24"/>
            <w:u w:val="single"/>
          </w:rPr>
          <w:t>Integrating farmers’ adaptive knowledge into flood management and adaptation policies in the Vietnamese Mekong Delta: A social learning perspective.</w:t>
        </w:r>
      </w:hyperlink>
    </w:p>
    <w:p w14:paraId="73158ACD"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16" w:history="1">
        <w:r w:rsidRPr="005665FF">
          <w:rPr>
            <w:rFonts w:ascii="Times New Roman" w:eastAsia="Times New Roman" w:hAnsi="Times New Roman" w:cs="Times New Roman"/>
            <w:color w:val="0000FF"/>
            <w:sz w:val="24"/>
            <w:szCs w:val="24"/>
            <w:u w:val="single"/>
          </w:rPr>
          <w:t>A model to examine farm household trade-offs and synergies with an application to smallholders in Vietnam.</w:t>
        </w:r>
      </w:hyperlink>
    </w:p>
    <w:p w14:paraId="1C7AD7E8"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17" w:history="1">
        <w:r w:rsidRPr="005665FF">
          <w:rPr>
            <w:rFonts w:ascii="Times New Roman" w:eastAsia="Times New Roman" w:hAnsi="Times New Roman" w:cs="Times New Roman"/>
            <w:color w:val="0000FF"/>
            <w:sz w:val="24"/>
            <w:szCs w:val="24"/>
            <w:u w:val="single"/>
          </w:rPr>
          <w:t>Regional differences in willingness to pay for organic vegetables in Vietnam.</w:t>
        </w:r>
      </w:hyperlink>
    </w:p>
    <w:p w14:paraId="2FB99575"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18" w:history="1">
        <w:r w:rsidRPr="005665FF">
          <w:rPr>
            <w:rFonts w:ascii="Times New Roman" w:eastAsia="Times New Roman" w:hAnsi="Times New Roman" w:cs="Times New Roman"/>
            <w:color w:val="0000FF"/>
            <w:sz w:val="24"/>
            <w:szCs w:val="24"/>
            <w:u w:val="single"/>
          </w:rPr>
          <w:t>Achieving fish passage outcomes at irrigation infrastructure; a case study from the Lower Mekong Basin.</w:t>
        </w:r>
      </w:hyperlink>
    </w:p>
    <w:p w14:paraId="7DA7697D"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19" w:history="1">
        <w:r w:rsidRPr="005665FF">
          <w:rPr>
            <w:rFonts w:ascii="Times New Roman" w:eastAsia="Times New Roman" w:hAnsi="Times New Roman" w:cs="Times New Roman"/>
            <w:color w:val="0000FF"/>
            <w:sz w:val="24"/>
            <w:szCs w:val="24"/>
            <w:u w:val="single"/>
          </w:rPr>
          <w:t>A Sustainable Energy Model for Shrimp Farms in the Mekong Delta.</w:t>
        </w:r>
      </w:hyperlink>
    </w:p>
    <w:p w14:paraId="1A86E543"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20" w:history="1">
        <w:r w:rsidRPr="005665FF">
          <w:rPr>
            <w:rFonts w:ascii="Times New Roman" w:eastAsia="Times New Roman" w:hAnsi="Times New Roman" w:cs="Times New Roman"/>
            <w:color w:val="0000FF"/>
            <w:sz w:val="24"/>
            <w:szCs w:val="24"/>
            <w:u w:val="single"/>
          </w:rPr>
          <w:t>Food Reserve Management and Policies in Southeast Asia.</w:t>
        </w:r>
      </w:hyperlink>
    </w:p>
    <w:p w14:paraId="4415F0C4"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21" w:history="1">
        <w:r w:rsidRPr="005665FF">
          <w:rPr>
            <w:rFonts w:ascii="Times New Roman" w:eastAsia="Times New Roman" w:hAnsi="Times New Roman" w:cs="Times New Roman"/>
            <w:color w:val="0000FF"/>
            <w:sz w:val="24"/>
            <w:szCs w:val="24"/>
            <w:u w:val="single"/>
          </w:rPr>
          <w:t>Assessing Forest Governance in the Countries of the Greater Mekong Subregion.</w:t>
        </w:r>
      </w:hyperlink>
    </w:p>
    <w:p w14:paraId="18C2563D"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22" w:history="1">
        <w:r w:rsidRPr="005665FF">
          <w:rPr>
            <w:rFonts w:ascii="Times New Roman" w:eastAsia="Times New Roman" w:hAnsi="Times New Roman" w:cs="Times New Roman"/>
            <w:color w:val="0000FF"/>
            <w:sz w:val="24"/>
            <w:szCs w:val="24"/>
            <w:u w:val="single"/>
          </w:rPr>
          <w:t>Linkages between timber processing companies and local forest communities: a case study in Vietnam.</w:t>
        </w:r>
      </w:hyperlink>
    </w:p>
    <w:p w14:paraId="72731D20"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23" w:history="1">
        <w:r w:rsidRPr="005665FF">
          <w:rPr>
            <w:rFonts w:ascii="Times New Roman" w:eastAsia="Times New Roman" w:hAnsi="Times New Roman" w:cs="Times New Roman"/>
            <w:color w:val="0000FF"/>
            <w:sz w:val="24"/>
            <w:szCs w:val="24"/>
            <w:u w:val="single"/>
          </w:rPr>
          <w:t>Opportunities and challenges in mobiliz</w:t>
        </w:r>
        <w:r w:rsidRPr="005665FF">
          <w:rPr>
            <w:rFonts w:ascii="Times New Roman" w:eastAsia="Times New Roman" w:hAnsi="Times New Roman" w:cs="Times New Roman"/>
            <w:color w:val="0000FF"/>
            <w:sz w:val="24"/>
            <w:szCs w:val="24"/>
            <w:u w:val="single"/>
          </w:rPr>
          <w:t>i</w:t>
        </w:r>
        <w:r w:rsidRPr="005665FF">
          <w:rPr>
            <w:rFonts w:ascii="Times New Roman" w:eastAsia="Times New Roman" w:hAnsi="Times New Roman" w:cs="Times New Roman"/>
            <w:color w:val="0000FF"/>
            <w:sz w:val="24"/>
            <w:szCs w:val="24"/>
            <w:u w:val="single"/>
          </w:rPr>
          <w:t>ng finance to implement Vietnam’s Forestry Development Strategy for 2006–2020.</w:t>
        </w:r>
      </w:hyperlink>
    </w:p>
    <w:p w14:paraId="453152F4"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24" w:history="1">
        <w:r w:rsidRPr="005665FF">
          <w:rPr>
            <w:rFonts w:ascii="Times New Roman" w:eastAsia="Times New Roman" w:hAnsi="Times New Roman" w:cs="Times New Roman"/>
            <w:color w:val="0000FF"/>
            <w:sz w:val="24"/>
            <w:szCs w:val="24"/>
            <w:u w:val="single"/>
          </w:rPr>
          <w:t>State of Forest Governance in Vietnam: Where Are the Local Communities?</w:t>
        </w:r>
      </w:hyperlink>
    </w:p>
    <w:p w14:paraId="10483E13"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25" w:history="1">
        <w:r w:rsidRPr="005665FF">
          <w:rPr>
            <w:rFonts w:ascii="Times New Roman" w:eastAsia="Times New Roman" w:hAnsi="Times New Roman" w:cs="Times New Roman"/>
            <w:color w:val="0000FF"/>
            <w:sz w:val="24"/>
            <w:szCs w:val="24"/>
            <w:u w:val="single"/>
          </w:rPr>
          <w:t>Adaptation to flood and salinity environments in the Vietnamese Mekong Delta: Empirical analysis of farmer-led innovations.</w:t>
        </w:r>
      </w:hyperlink>
    </w:p>
    <w:p w14:paraId="3E8213CD"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26" w:history="1">
        <w:r w:rsidRPr="005665FF">
          <w:rPr>
            <w:rFonts w:ascii="Times New Roman" w:eastAsia="Times New Roman" w:hAnsi="Times New Roman" w:cs="Times New Roman"/>
            <w:color w:val="0000FF"/>
            <w:sz w:val="24"/>
            <w:szCs w:val="24"/>
            <w:u w:val="single"/>
          </w:rPr>
          <w:t>Land loss and its impacts on agricultural production in the Vietnamese Mekong Delta under climate change.</w:t>
        </w:r>
      </w:hyperlink>
    </w:p>
    <w:p w14:paraId="1F3E8275"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27" w:history="1">
        <w:r w:rsidRPr="005665FF">
          <w:rPr>
            <w:rFonts w:ascii="Times New Roman" w:eastAsia="Times New Roman" w:hAnsi="Times New Roman" w:cs="Times New Roman"/>
            <w:color w:val="0000FF"/>
            <w:sz w:val="24"/>
            <w:szCs w:val="24"/>
            <w:u w:val="single"/>
          </w:rPr>
          <w:t>The policy effect of government assistance on the rice production in Southeast Asia: Comparative case studies of Thailand, Vietnam, and the Philippines.</w:t>
        </w:r>
      </w:hyperlink>
    </w:p>
    <w:p w14:paraId="3C1F73F5"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28" w:history="1">
        <w:r w:rsidRPr="005665FF">
          <w:rPr>
            <w:rFonts w:ascii="Times New Roman" w:eastAsia="Times New Roman" w:hAnsi="Times New Roman" w:cs="Times New Roman"/>
            <w:color w:val="0000FF"/>
            <w:sz w:val="24"/>
            <w:szCs w:val="24"/>
            <w:u w:val="single"/>
          </w:rPr>
          <w:t>The Rice Economy and the Role of Policy in Southeast Asia.</w:t>
        </w:r>
      </w:hyperlink>
    </w:p>
    <w:p w14:paraId="1DB0535A"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29" w:history="1">
        <w:r w:rsidRPr="005665FF">
          <w:rPr>
            <w:rFonts w:ascii="Times New Roman" w:eastAsia="Times New Roman" w:hAnsi="Times New Roman" w:cs="Times New Roman"/>
            <w:color w:val="0000FF"/>
            <w:sz w:val="24"/>
            <w:szCs w:val="24"/>
            <w:u w:val="single"/>
          </w:rPr>
          <w:t xml:space="preserve">Conservation and Development of the Floating Rice Based </w:t>
        </w:r>
        <w:proofErr w:type="spellStart"/>
        <w:r w:rsidRPr="005665FF">
          <w:rPr>
            <w:rFonts w:ascii="Times New Roman" w:eastAsia="Times New Roman" w:hAnsi="Times New Roman" w:cs="Times New Roman"/>
            <w:color w:val="0000FF"/>
            <w:sz w:val="24"/>
            <w:szCs w:val="24"/>
            <w:u w:val="single"/>
          </w:rPr>
          <w:t>Agro</w:t>
        </w:r>
        <w:proofErr w:type="spellEnd"/>
        <w:r w:rsidRPr="005665FF">
          <w:rPr>
            <w:rFonts w:ascii="Times New Roman" w:eastAsia="Times New Roman" w:hAnsi="Times New Roman" w:cs="Times New Roman"/>
            <w:color w:val="0000FF"/>
            <w:sz w:val="24"/>
            <w:szCs w:val="24"/>
            <w:u w:val="single"/>
          </w:rPr>
          <w:t>-Ecological Farming Systems in the Mekong Delta.</w:t>
        </w:r>
      </w:hyperlink>
    </w:p>
    <w:p w14:paraId="107A52E7" w14:textId="77777777" w:rsidR="005665FF" w:rsidRPr="005665FF" w:rsidRDefault="005665FF" w:rsidP="005665F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30" w:history="1">
        <w:r w:rsidRPr="005665FF">
          <w:rPr>
            <w:rFonts w:ascii="Times New Roman" w:eastAsia="Times New Roman" w:hAnsi="Times New Roman" w:cs="Times New Roman"/>
            <w:color w:val="0000FF"/>
            <w:sz w:val="24"/>
            <w:szCs w:val="24"/>
            <w:u w:val="single"/>
          </w:rPr>
          <w:t>Green supply chain management in organic agriculture sector: A case study in Vietnam food safety management.</w:t>
        </w:r>
      </w:hyperlink>
    </w:p>
    <w:p w14:paraId="3FCB2C07"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031" w:history="1">
        <w:r w:rsidRPr="005665FF">
          <w:rPr>
            <w:rFonts w:ascii="Times New Roman" w:eastAsia="Times New Roman" w:hAnsi="Times New Roman" w:cs="Times New Roman"/>
            <w:color w:val="0000FF"/>
            <w:sz w:val="24"/>
            <w:szCs w:val="24"/>
            <w:u w:val="single"/>
          </w:rPr>
          <w:t>ECONOMIC DEVELOPMENT</w:t>
        </w:r>
      </w:hyperlink>
    </w:p>
    <w:p w14:paraId="7064E6A6"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32" w:history="1">
        <w:r w:rsidRPr="005665FF">
          <w:rPr>
            <w:rFonts w:ascii="Times New Roman" w:eastAsia="Times New Roman" w:hAnsi="Times New Roman" w:cs="Times New Roman"/>
            <w:color w:val="0000FF"/>
            <w:sz w:val="24"/>
            <w:szCs w:val="24"/>
            <w:u w:val="single"/>
          </w:rPr>
          <w:t xml:space="preserve">Vietnam’s Industrialization </w:t>
        </w:r>
        <w:proofErr w:type="gramStart"/>
        <w:r w:rsidRPr="005665FF">
          <w:rPr>
            <w:rFonts w:ascii="Times New Roman" w:eastAsia="Times New Roman" w:hAnsi="Times New Roman" w:cs="Times New Roman"/>
            <w:color w:val="0000FF"/>
            <w:sz w:val="24"/>
            <w:szCs w:val="24"/>
            <w:u w:val="single"/>
          </w:rPr>
          <w:t>Ambitions :</w:t>
        </w:r>
        <w:proofErr w:type="gramEnd"/>
        <w:r w:rsidRPr="005665FF">
          <w:rPr>
            <w:rFonts w:ascii="Times New Roman" w:eastAsia="Times New Roman" w:hAnsi="Times New Roman" w:cs="Times New Roman"/>
            <w:color w:val="0000FF"/>
            <w:sz w:val="24"/>
            <w:szCs w:val="24"/>
            <w:u w:val="single"/>
          </w:rPr>
          <w:t xml:space="preserve"> The Case of </w:t>
        </w:r>
        <w:proofErr w:type="spellStart"/>
        <w:r w:rsidRPr="005665FF">
          <w:rPr>
            <w:rFonts w:ascii="Times New Roman" w:eastAsia="Times New Roman" w:hAnsi="Times New Roman" w:cs="Times New Roman"/>
            <w:color w:val="0000FF"/>
            <w:sz w:val="24"/>
            <w:szCs w:val="24"/>
            <w:u w:val="single"/>
          </w:rPr>
          <w:t>Vingroup</w:t>
        </w:r>
        <w:proofErr w:type="spellEnd"/>
        <w:r w:rsidRPr="005665FF">
          <w:rPr>
            <w:rFonts w:ascii="Times New Roman" w:eastAsia="Times New Roman" w:hAnsi="Times New Roman" w:cs="Times New Roman"/>
            <w:color w:val="0000FF"/>
            <w:sz w:val="24"/>
            <w:szCs w:val="24"/>
            <w:u w:val="single"/>
          </w:rPr>
          <w:t xml:space="preserve"> and the Automotive Industry`.</w:t>
        </w:r>
      </w:hyperlink>
    </w:p>
    <w:p w14:paraId="69F173E6"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33" w:history="1">
        <w:r w:rsidRPr="005665FF">
          <w:rPr>
            <w:rFonts w:ascii="Times New Roman" w:eastAsia="Times New Roman" w:hAnsi="Times New Roman" w:cs="Times New Roman"/>
            <w:color w:val="0000FF"/>
            <w:sz w:val="24"/>
            <w:szCs w:val="24"/>
            <w:u w:val="single"/>
          </w:rPr>
          <w:t>Land Ownership and Informal Credit in Rural Vietnam.</w:t>
        </w:r>
      </w:hyperlink>
    </w:p>
    <w:p w14:paraId="6EF839A9"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34" w:history="1">
        <w:r w:rsidRPr="005665FF">
          <w:rPr>
            <w:rFonts w:ascii="Times New Roman" w:eastAsia="Times New Roman" w:hAnsi="Times New Roman" w:cs="Times New Roman"/>
            <w:color w:val="0000FF"/>
            <w:sz w:val="24"/>
            <w:szCs w:val="24"/>
            <w:u w:val="single"/>
          </w:rPr>
          <w:t>The Impact of State Religious Policies on Christian Women ’s Leadership Status in Vietnam: The Case of the Evangelical Church of Vietnam Since 1975.</w:t>
        </w:r>
      </w:hyperlink>
    </w:p>
    <w:p w14:paraId="43C8F2F1"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35" w:history="1">
        <w:r w:rsidRPr="005665FF">
          <w:rPr>
            <w:rFonts w:ascii="Times New Roman" w:eastAsia="Times New Roman" w:hAnsi="Times New Roman" w:cs="Times New Roman"/>
            <w:color w:val="0000FF"/>
            <w:sz w:val="24"/>
            <w:szCs w:val="24"/>
            <w:u w:val="single"/>
          </w:rPr>
          <w:t>Factors affecting entrepreneurial intentions among youths in Vietnam.</w:t>
        </w:r>
      </w:hyperlink>
    </w:p>
    <w:p w14:paraId="0F1CECC8"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36" w:history="1">
        <w:r w:rsidRPr="005665FF">
          <w:rPr>
            <w:rFonts w:ascii="Times New Roman" w:eastAsia="Times New Roman" w:hAnsi="Times New Roman" w:cs="Times New Roman"/>
            <w:color w:val="0000FF"/>
            <w:sz w:val="24"/>
            <w:szCs w:val="24"/>
            <w:u w:val="single"/>
          </w:rPr>
          <w:t>Fostering academic entrepreneurship: A qualitative study of invention commercialization in Vietnam.</w:t>
        </w:r>
      </w:hyperlink>
    </w:p>
    <w:p w14:paraId="63B47757"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37" w:history="1">
        <w:r w:rsidRPr="005665FF">
          <w:rPr>
            <w:rFonts w:ascii="Times New Roman" w:eastAsia="Times New Roman" w:hAnsi="Times New Roman" w:cs="Times New Roman"/>
            <w:color w:val="0000FF"/>
            <w:sz w:val="24"/>
            <w:szCs w:val="24"/>
            <w:u w:val="single"/>
          </w:rPr>
          <w:t>State of Southeast Asia: 2019.</w:t>
        </w:r>
      </w:hyperlink>
    </w:p>
    <w:p w14:paraId="1D5337C6"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38" w:history="1">
        <w:r w:rsidRPr="005665FF">
          <w:rPr>
            <w:rFonts w:ascii="Times New Roman" w:eastAsia="Times New Roman" w:hAnsi="Times New Roman" w:cs="Times New Roman"/>
            <w:color w:val="0000FF"/>
            <w:sz w:val="24"/>
            <w:szCs w:val="24"/>
            <w:u w:val="single"/>
          </w:rPr>
          <w:t>Technology Transfer and the Promotion of Technical Skills from Japan to Southeast Asia: Case Study of Vietnam.</w:t>
        </w:r>
      </w:hyperlink>
    </w:p>
    <w:p w14:paraId="1C8F6160"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39" w:history="1">
        <w:r w:rsidRPr="005665FF">
          <w:rPr>
            <w:rFonts w:ascii="Times New Roman" w:eastAsia="Times New Roman" w:hAnsi="Times New Roman" w:cs="Times New Roman"/>
            <w:color w:val="0000FF"/>
            <w:sz w:val="24"/>
            <w:szCs w:val="24"/>
            <w:u w:val="single"/>
          </w:rPr>
          <w:t>The Determinants of Equitization Success of State-Owned Enterprises in Vietnam.</w:t>
        </w:r>
      </w:hyperlink>
    </w:p>
    <w:p w14:paraId="43976D6D"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40" w:history="1">
        <w:r w:rsidRPr="005665FF">
          <w:rPr>
            <w:rFonts w:ascii="Times New Roman" w:eastAsia="Times New Roman" w:hAnsi="Times New Roman" w:cs="Times New Roman"/>
            <w:color w:val="0000FF"/>
            <w:sz w:val="24"/>
            <w:szCs w:val="24"/>
            <w:u w:val="single"/>
          </w:rPr>
          <w:t>Determinants of Firm Growth: Evidence from Vietnamese Small and Medium Sized Manufacturing Enterprises.</w:t>
        </w:r>
      </w:hyperlink>
    </w:p>
    <w:p w14:paraId="234DC85D"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41" w:history="1">
        <w:r w:rsidRPr="005665FF">
          <w:rPr>
            <w:rFonts w:ascii="Times New Roman" w:eastAsia="Times New Roman" w:hAnsi="Times New Roman" w:cs="Times New Roman"/>
            <w:color w:val="0000FF"/>
            <w:sz w:val="24"/>
            <w:szCs w:val="24"/>
            <w:u w:val="single"/>
          </w:rPr>
          <w:t>Drivers of productivity in Vietnamese SMEs: The role of management standards and innovation.</w:t>
        </w:r>
      </w:hyperlink>
    </w:p>
    <w:p w14:paraId="7A0C627C"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42" w:history="1">
        <w:r w:rsidRPr="005665FF">
          <w:rPr>
            <w:rFonts w:ascii="Times New Roman" w:eastAsia="Times New Roman" w:hAnsi="Times New Roman" w:cs="Times New Roman"/>
            <w:color w:val="0000FF"/>
            <w:sz w:val="24"/>
            <w:szCs w:val="24"/>
            <w:u w:val="single"/>
          </w:rPr>
          <w:t>Earnings Quality and Corporate Social Disclosure: The Moderating Role of State and Foreign Ownership in Vietnamese Listed Firms.</w:t>
        </w:r>
      </w:hyperlink>
    </w:p>
    <w:p w14:paraId="482B32EC"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43" w:history="1">
        <w:r w:rsidRPr="005665FF">
          <w:rPr>
            <w:rFonts w:ascii="Times New Roman" w:eastAsia="Times New Roman" w:hAnsi="Times New Roman" w:cs="Times New Roman"/>
            <w:color w:val="0000FF"/>
            <w:sz w:val="24"/>
            <w:szCs w:val="24"/>
            <w:u w:val="single"/>
          </w:rPr>
          <w:t>Entrepreneurial Human Capital, Innovation and Productivity in Small and Medium Manufacturing Enterprises in Vietnam.</w:t>
        </w:r>
      </w:hyperlink>
    </w:p>
    <w:p w14:paraId="3C4D5596"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44" w:history="1">
        <w:r w:rsidRPr="005665FF">
          <w:rPr>
            <w:rFonts w:ascii="Times New Roman" w:eastAsia="Times New Roman" w:hAnsi="Times New Roman" w:cs="Times New Roman"/>
            <w:color w:val="0000FF"/>
            <w:sz w:val="24"/>
            <w:szCs w:val="24"/>
            <w:u w:val="single"/>
          </w:rPr>
          <w:t>Fostering Entrepreneurship among Academia: A Study of Vietnamese Scientist Commercialization.</w:t>
        </w:r>
      </w:hyperlink>
    </w:p>
    <w:p w14:paraId="7DD92AC3"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45" w:history="1">
        <w:r w:rsidRPr="005665FF">
          <w:rPr>
            <w:rFonts w:ascii="Times New Roman" w:eastAsia="Times New Roman" w:hAnsi="Times New Roman" w:cs="Times New Roman"/>
            <w:color w:val="0000FF"/>
            <w:sz w:val="24"/>
            <w:szCs w:val="24"/>
            <w:u w:val="single"/>
          </w:rPr>
          <w:t>Globalization and State Capitalism: Assessing Vietnam's Accession to the WTO.</w:t>
        </w:r>
      </w:hyperlink>
    </w:p>
    <w:p w14:paraId="0F4A81CA"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46" w:history="1">
        <w:r w:rsidRPr="005665FF">
          <w:rPr>
            <w:rFonts w:ascii="Times New Roman" w:eastAsia="Times New Roman" w:hAnsi="Times New Roman" w:cs="Times New Roman"/>
            <w:color w:val="0000FF"/>
            <w:sz w:val="24"/>
            <w:szCs w:val="24"/>
            <w:u w:val="single"/>
          </w:rPr>
          <w:t>Network ties and export propensity of Vietnamese small and medium enterprises.</w:t>
        </w:r>
      </w:hyperlink>
    </w:p>
    <w:p w14:paraId="3861DB1B"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47" w:history="1">
        <w:proofErr w:type="spellStart"/>
        <w:r w:rsidRPr="005665FF">
          <w:rPr>
            <w:rFonts w:ascii="Times New Roman" w:eastAsia="Times New Roman" w:hAnsi="Times New Roman" w:cs="Times New Roman"/>
            <w:color w:val="0000FF"/>
            <w:sz w:val="24"/>
            <w:szCs w:val="24"/>
            <w:u w:val="single"/>
          </w:rPr>
          <w:t>Organisational</w:t>
        </w:r>
        <w:proofErr w:type="spellEnd"/>
        <w:r w:rsidRPr="005665FF">
          <w:rPr>
            <w:rFonts w:ascii="Times New Roman" w:eastAsia="Times New Roman" w:hAnsi="Times New Roman" w:cs="Times New Roman"/>
            <w:color w:val="0000FF"/>
            <w:sz w:val="24"/>
            <w:szCs w:val="24"/>
            <w:u w:val="single"/>
          </w:rPr>
          <w:t xml:space="preserve"> Innovation by Manufacturing SMEs in Vietnam.</w:t>
        </w:r>
      </w:hyperlink>
    </w:p>
    <w:p w14:paraId="1D1F618B"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48" w:history="1">
        <w:r w:rsidRPr="005665FF">
          <w:rPr>
            <w:rFonts w:ascii="Times New Roman" w:eastAsia="Times New Roman" w:hAnsi="Times New Roman" w:cs="Times New Roman"/>
            <w:color w:val="0000FF"/>
            <w:sz w:val="24"/>
            <w:szCs w:val="24"/>
            <w:u w:val="single"/>
          </w:rPr>
          <w:t>Product and Process Innovation of Micro, Small and Medium Manufacturing Enterprises in Vietnam.</w:t>
        </w:r>
      </w:hyperlink>
    </w:p>
    <w:p w14:paraId="57EDD6F4"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49" w:history="1">
        <w:r w:rsidRPr="005665FF">
          <w:rPr>
            <w:rFonts w:ascii="Times New Roman" w:eastAsia="Times New Roman" w:hAnsi="Times New Roman" w:cs="Times New Roman"/>
            <w:color w:val="0000FF"/>
            <w:sz w:val="24"/>
            <w:szCs w:val="24"/>
            <w:u w:val="single"/>
          </w:rPr>
          <w:t>Productivity Spillover from FDI to Domestic Firms across Six Regions in Vietnam.</w:t>
        </w:r>
      </w:hyperlink>
    </w:p>
    <w:p w14:paraId="5A5C3717"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50" w:history="1">
        <w:r w:rsidRPr="005665FF">
          <w:rPr>
            <w:rFonts w:ascii="Times New Roman" w:eastAsia="Times New Roman" w:hAnsi="Times New Roman" w:cs="Times New Roman"/>
            <w:color w:val="0000FF"/>
            <w:sz w:val="24"/>
            <w:szCs w:val="24"/>
            <w:u w:val="single"/>
          </w:rPr>
          <w:t>SME credit constraints in Asia’s rising economic star: fresh empirical evidence from Vietnam.</w:t>
        </w:r>
      </w:hyperlink>
    </w:p>
    <w:p w14:paraId="1EBA4F24"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51" w:history="1">
        <w:r w:rsidRPr="005665FF">
          <w:rPr>
            <w:rFonts w:ascii="Times New Roman" w:eastAsia="Times New Roman" w:hAnsi="Times New Roman" w:cs="Times New Roman"/>
            <w:color w:val="0000FF"/>
            <w:sz w:val="24"/>
            <w:szCs w:val="24"/>
            <w:u w:val="single"/>
          </w:rPr>
          <w:t>STEAM-ME: A Novel Model for Successful Kaizen Implementation and Sustainable Performance of SMEs in Vietnam.</w:t>
        </w:r>
      </w:hyperlink>
    </w:p>
    <w:p w14:paraId="6C7ACD20"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52" w:history="1">
        <w:r w:rsidRPr="005665FF">
          <w:rPr>
            <w:rFonts w:ascii="Times New Roman" w:eastAsia="Times New Roman" w:hAnsi="Times New Roman" w:cs="Times New Roman"/>
            <w:color w:val="0000FF"/>
            <w:sz w:val="24"/>
            <w:szCs w:val="24"/>
            <w:u w:val="single"/>
          </w:rPr>
          <w:t>Trade-related R&amp;D Spillovers in Vietnamese Manufacturing.</w:t>
        </w:r>
      </w:hyperlink>
    </w:p>
    <w:p w14:paraId="3E1C358B"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53" w:history="1">
        <w:r w:rsidRPr="005665FF">
          <w:rPr>
            <w:rFonts w:ascii="Times New Roman" w:eastAsia="Times New Roman" w:hAnsi="Times New Roman" w:cs="Times New Roman"/>
            <w:color w:val="0000FF"/>
            <w:sz w:val="24"/>
            <w:szCs w:val="24"/>
            <w:u w:val="single"/>
          </w:rPr>
          <w:t>Implications of regional economic conditions on the distribution of technical efficiency: Examples from coastal trawl vessels in Vietnam.</w:t>
        </w:r>
      </w:hyperlink>
    </w:p>
    <w:p w14:paraId="5B3EE525" w14:textId="77777777" w:rsidR="005665FF" w:rsidRPr="005665FF" w:rsidRDefault="005665FF" w:rsidP="005665F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54" w:history="1">
        <w:r w:rsidRPr="005665FF">
          <w:rPr>
            <w:rFonts w:ascii="Times New Roman" w:eastAsia="Times New Roman" w:hAnsi="Times New Roman" w:cs="Times New Roman"/>
            <w:color w:val="0000FF"/>
            <w:sz w:val="24"/>
            <w:szCs w:val="24"/>
            <w:u w:val="single"/>
          </w:rPr>
          <w:t>A tale of two networks: Market formation on the Cambodia–Vietnam frontier.</w:t>
        </w:r>
      </w:hyperlink>
    </w:p>
    <w:p w14:paraId="16E99981"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055" w:history="1">
        <w:r w:rsidRPr="005665FF">
          <w:rPr>
            <w:rFonts w:ascii="Times New Roman" w:eastAsia="Times New Roman" w:hAnsi="Times New Roman" w:cs="Times New Roman"/>
            <w:color w:val="0000FF"/>
            <w:sz w:val="24"/>
            <w:szCs w:val="24"/>
            <w:u w:val="single"/>
          </w:rPr>
          <w:t>EDUCATION</w:t>
        </w:r>
      </w:hyperlink>
    </w:p>
    <w:p w14:paraId="1AB2B445" w14:textId="77777777" w:rsidR="005665FF" w:rsidRPr="005665FF" w:rsidRDefault="005665FF" w:rsidP="005665F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56" w:history="1">
        <w:r w:rsidRPr="005665FF">
          <w:rPr>
            <w:rFonts w:ascii="Times New Roman" w:eastAsia="Times New Roman" w:hAnsi="Times New Roman" w:cs="Times New Roman"/>
            <w:color w:val="0000FF"/>
            <w:sz w:val="24"/>
            <w:szCs w:val="24"/>
            <w:u w:val="single"/>
          </w:rPr>
          <w:t>The Economic Case for Education in Vietnam.</w:t>
        </w:r>
      </w:hyperlink>
    </w:p>
    <w:p w14:paraId="54BA7CB4" w14:textId="77777777" w:rsidR="005665FF" w:rsidRPr="005665FF" w:rsidRDefault="005665FF" w:rsidP="005665F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57" w:history="1">
        <w:r w:rsidRPr="005665FF">
          <w:rPr>
            <w:rFonts w:ascii="Times New Roman" w:eastAsia="Times New Roman" w:hAnsi="Times New Roman" w:cs="Times New Roman"/>
            <w:color w:val="0000FF"/>
            <w:sz w:val="24"/>
            <w:szCs w:val="24"/>
            <w:u w:val="single"/>
          </w:rPr>
          <w:t>Education and the livelihood of households in the Northwest Region, Vietnam.</w:t>
        </w:r>
      </w:hyperlink>
    </w:p>
    <w:p w14:paraId="114EE3BB" w14:textId="77777777" w:rsidR="005665FF" w:rsidRPr="005665FF" w:rsidRDefault="005665FF" w:rsidP="005665F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58" w:history="1">
        <w:r w:rsidRPr="005665FF">
          <w:rPr>
            <w:rFonts w:ascii="Times New Roman" w:eastAsia="Times New Roman" w:hAnsi="Times New Roman" w:cs="Times New Roman"/>
            <w:color w:val="0000FF"/>
            <w:sz w:val="24"/>
            <w:szCs w:val="24"/>
            <w:u w:val="single"/>
          </w:rPr>
          <w:t>Searching for education for sustainable development in Vietnam.</w:t>
        </w:r>
      </w:hyperlink>
    </w:p>
    <w:p w14:paraId="1A832459" w14:textId="77777777" w:rsidR="005665FF" w:rsidRPr="005665FF" w:rsidRDefault="005665FF" w:rsidP="005665F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59" w:history="1">
        <w:r w:rsidRPr="005665FF">
          <w:rPr>
            <w:rFonts w:ascii="Times New Roman" w:eastAsia="Times New Roman" w:hAnsi="Times New Roman" w:cs="Times New Roman"/>
            <w:color w:val="0000FF"/>
            <w:sz w:val="24"/>
            <w:szCs w:val="24"/>
            <w:u w:val="single"/>
          </w:rPr>
          <w:t xml:space="preserve">The impact of parental illness on children’s schooling and </w:t>
        </w:r>
        <w:proofErr w:type="spellStart"/>
        <w:r w:rsidRPr="005665FF">
          <w:rPr>
            <w:rFonts w:ascii="Times New Roman" w:eastAsia="Times New Roman" w:hAnsi="Times New Roman" w:cs="Times New Roman"/>
            <w:color w:val="0000FF"/>
            <w:sz w:val="24"/>
            <w:szCs w:val="24"/>
            <w:u w:val="single"/>
          </w:rPr>
          <w:t>labour</w:t>
        </w:r>
        <w:proofErr w:type="spellEnd"/>
        <w:r w:rsidRPr="005665FF">
          <w:rPr>
            <w:rFonts w:ascii="Times New Roman" w:eastAsia="Times New Roman" w:hAnsi="Times New Roman" w:cs="Times New Roman"/>
            <w:color w:val="0000FF"/>
            <w:sz w:val="24"/>
            <w:szCs w:val="24"/>
            <w:u w:val="single"/>
          </w:rPr>
          <w:t xml:space="preserve"> force participation: evidence from Vietnam.</w:t>
        </w:r>
      </w:hyperlink>
    </w:p>
    <w:p w14:paraId="341632A4" w14:textId="77777777" w:rsidR="005665FF" w:rsidRPr="005665FF" w:rsidRDefault="005665FF" w:rsidP="005665F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60" w:history="1">
        <w:r w:rsidRPr="005665FF">
          <w:rPr>
            <w:rFonts w:ascii="Times New Roman" w:eastAsia="Times New Roman" w:hAnsi="Times New Roman" w:cs="Times New Roman"/>
            <w:color w:val="0000FF"/>
            <w:sz w:val="24"/>
            <w:szCs w:val="24"/>
            <w:u w:val="single"/>
          </w:rPr>
          <w:t>Education and Services for Deaf People in Viet Nam.</w:t>
        </w:r>
      </w:hyperlink>
    </w:p>
    <w:p w14:paraId="52A17BEB" w14:textId="77777777" w:rsidR="005665FF" w:rsidRPr="005665FF" w:rsidRDefault="005665FF" w:rsidP="005665F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61" w:history="1">
        <w:r w:rsidRPr="005665FF">
          <w:rPr>
            <w:rFonts w:ascii="Times New Roman" w:eastAsia="Times New Roman" w:hAnsi="Times New Roman" w:cs="Times New Roman"/>
            <w:color w:val="0000FF"/>
            <w:sz w:val="24"/>
            <w:szCs w:val="24"/>
            <w:u w:val="single"/>
          </w:rPr>
          <w:t>Limited legitimacy among academics of centrally driven approaches to internal quality assurance in Vietnam.</w:t>
        </w:r>
      </w:hyperlink>
    </w:p>
    <w:p w14:paraId="181BC502" w14:textId="77777777" w:rsidR="005665FF" w:rsidRPr="005665FF" w:rsidRDefault="005665FF" w:rsidP="005665F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62" w:history="1">
        <w:r w:rsidRPr="005665FF">
          <w:rPr>
            <w:rFonts w:ascii="Times New Roman" w:eastAsia="Times New Roman" w:hAnsi="Times New Roman" w:cs="Times New Roman"/>
            <w:color w:val="0000FF"/>
            <w:sz w:val="24"/>
            <w:szCs w:val="24"/>
            <w:u w:val="single"/>
          </w:rPr>
          <w:t>Learning Motivations, Learning Outcomes and Gender in Vietnam.</w:t>
        </w:r>
      </w:hyperlink>
    </w:p>
    <w:p w14:paraId="7C61A102"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063" w:history="1">
        <w:r w:rsidRPr="005665FF">
          <w:rPr>
            <w:rFonts w:ascii="Times New Roman" w:eastAsia="Times New Roman" w:hAnsi="Times New Roman" w:cs="Times New Roman"/>
            <w:color w:val="0000FF"/>
            <w:sz w:val="24"/>
            <w:szCs w:val="24"/>
            <w:u w:val="single"/>
          </w:rPr>
          <w:t>ENVIRONMENT</w:t>
        </w:r>
      </w:hyperlink>
    </w:p>
    <w:p w14:paraId="486ACE46"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64" w:history="1">
        <w:r w:rsidRPr="005665FF">
          <w:rPr>
            <w:rFonts w:ascii="Times New Roman" w:eastAsia="Times New Roman" w:hAnsi="Times New Roman" w:cs="Times New Roman"/>
            <w:color w:val="0000FF"/>
            <w:sz w:val="24"/>
            <w:szCs w:val="24"/>
            <w:u w:val="single"/>
          </w:rPr>
          <w:t>Do strategic delta plans get implemented? The case of the Mekong Delta Plan.</w:t>
        </w:r>
      </w:hyperlink>
    </w:p>
    <w:p w14:paraId="447839B5"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65" w:history="1">
        <w:r w:rsidRPr="005665FF">
          <w:rPr>
            <w:rFonts w:ascii="Times New Roman" w:eastAsia="Times New Roman" w:hAnsi="Times New Roman" w:cs="Times New Roman"/>
            <w:color w:val="0000FF"/>
            <w:sz w:val="24"/>
            <w:szCs w:val="24"/>
            <w:u w:val="single"/>
          </w:rPr>
          <w:t>Environmental Pollution, Management, and Sustainable Development: Strategies for Vietnam and Other Developing Countries.</w:t>
        </w:r>
      </w:hyperlink>
    </w:p>
    <w:p w14:paraId="534AAC45"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66" w:history="1">
        <w:r w:rsidRPr="005665FF">
          <w:rPr>
            <w:rFonts w:ascii="Times New Roman" w:eastAsia="Times New Roman" w:hAnsi="Times New Roman" w:cs="Times New Roman"/>
            <w:color w:val="0000FF"/>
            <w:sz w:val="24"/>
            <w:szCs w:val="24"/>
            <w:u w:val="single"/>
          </w:rPr>
          <w:t xml:space="preserve">Resource Assessment and Development Impact on Douc Population at Son </w:t>
        </w:r>
        <w:proofErr w:type="spellStart"/>
        <w:r w:rsidRPr="005665FF">
          <w:rPr>
            <w:rFonts w:ascii="Times New Roman" w:eastAsia="Times New Roman" w:hAnsi="Times New Roman" w:cs="Times New Roman"/>
            <w:color w:val="0000FF"/>
            <w:sz w:val="24"/>
            <w:szCs w:val="24"/>
            <w:u w:val="single"/>
          </w:rPr>
          <w:t>Tra</w:t>
        </w:r>
        <w:proofErr w:type="spellEnd"/>
        <w:r w:rsidRPr="005665FF">
          <w:rPr>
            <w:rFonts w:ascii="Times New Roman" w:eastAsia="Times New Roman" w:hAnsi="Times New Roman" w:cs="Times New Roman"/>
            <w:color w:val="0000FF"/>
            <w:sz w:val="24"/>
            <w:szCs w:val="24"/>
            <w:u w:val="single"/>
          </w:rPr>
          <w:t xml:space="preserve"> Nature Reserve, Vietnam.</w:t>
        </w:r>
      </w:hyperlink>
    </w:p>
    <w:p w14:paraId="72BFB2E6"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67" w:history="1">
        <w:r w:rsidRPr="005665FF">
          <w:rPr>
            <w:rFonts w:ascii="Times New Roman" w:eastAsia="Times New Roman" w:hAnsi="Times New Roman" w:cs="Times New Roman"/>
            <w:color w:val="0000FF"/>
            <w:sz w:val="24"/>
            <w:szCs w:val="24"/>
            <w:u w:val="single"/>
          </w:rPr>
          <w:t>An evaluation and monetary assessment of the impact of flooding on subjective well-being across genders in Vietnam.</w:t>
        </w:r>
      </w:hyperlink>
    </w:p>
    <w:p w14:paraId="3F3F079B"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68" w:history="1">
        <w:r w:rsidRPr="005665FF">
          <w:rPr>
            <w:rFonts w:ascii="Times New Roman" w:eastAsia="Times New Roman" w:hAnsi="Times New Roman" w:cs="Times New Roman"/>
            <w:color w:val="0000FF"/>
            <w:sz w:val="24"/>
            <w:szCs w:val="24"/>
            <w:u w:val="single"/>
          </w:rPr>
          <w:t>Lost in implementation? REDD+ country readiness experiences in Indonesia and Vietnam.</w:t>
        </w:r>
      </w:hyperlink>
    </w:p>
    <w:p w14:paraId="7013AE6E"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69" w:history="1">
        <w:r w:rsidRPr="005665FF">
          <w:rPr>
            <w:rFonts w:ascii="Times New Roman" w:eastAsia="Times New Roman" w:hAnsi="Times New Roman" w:cs="Times New Roman"/>
            <w:color w:val="0000FF"/>
            <w:sz w:val="24"/>
            <w:szCs w:val="24"/>
            <w:u w:val="single"/>
          </w:rPr>
          <w:t>The sinking mega-</w:t>
        </w:r>
        <w:proofErr w:type="gramStart"/>
        <w:r w:rsidRPr="005665FF">
          <w:rPr>
            <w:rFonts w:ascii="Times New Roman" w:eastAsia="Times New Roman" w:hAnsi="Times New Roman" w:cs="Times New Roman"/>
            <w:color w:val="0000FF"/>
            <w:sz w:val="24"/>
            <w:szCs w:val="24"/>
            <w:u w:val="single"/>
          </w:rPr>
          <w:t>delta :</w:t>
        </w:r>
        <w:proofErr w:type="gramEnd"/>
        <w:r w:rsidRPr="005665FF">
          <w:rPr>
            <w:rFonts w:ascii="Times New Roman" w:eastAsia="Times New Roman" w:hAnsi="Times New Roman" w:cs="Times New Roman"/>
            <w:color w:val="0000FF"/>
            <w:sz w:val="24"/>
            <w:szCs w:val="24"/>
            <w:u w:val="single"/>
          </w:rPr>
          <w:t xml:space="preserve"> Present and future subsidence of the Vietnamese Mekong delta.</w:t>
        </w:r>
      </w:hyperlink>
    </w:p>
    <w:p w14:paraId="3E17AC18"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70" w:history="1">
        <w:r w:rsidRPr="005665FF">
          <w:rPr>
            <w:rFonts w:ascii="Times New Roman" w:eastAsia="Times New Roman" w:hAnsi="Times New Roman" w:cs="Times New Roman"/>
            <w:color w:val="0000FF"/>
            <w:sz w:val="24"/>
            <w:szCs w:val="24"/>
            <w:u w:val="single"/>
          </w:rPr>
          <w:t>Changing Livelihood Options as Adaptation: A Comparative Analysis of Three Flood Control Schemes in the Vietnamese Mekong Delta.</w:t>
        </w:r>
      </w:hyperlink>
    </w:p>
    <w:p w14:paraId="2D31F18E"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71" w:history="1">
        <w:r w:rsidRPr="005665FF">
          <w:rPr>
            <w:rFonts w:ascii="Times New Roman" w:eastAsia="Times New Roman" w:hAnsi="Times New Roman" w:cs="Times New Roman"/>
            <w:color w:val="0000FF"/>
            <w:sz w:val="24"/>
            <w:szCs w:val="24"/>
            <w:u w:val="single"/>
          </w:rPr>
          <w:t>Evaluating drought events under influence of El-Nino phenomenon: A case study of Mekong delta area, Vietnam.</w:t>
        </w:r>
      </w:hyperlink>
    </w:p>
    <w:p w14:paraId="700CB072"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72" w:history="1">
        <w:r w:rsidRPr="005665FF">
          <w:rPr>
            <w:rFonts w:ascii="Times New Roman" w:eastAsia="Times New Roman" w:hAnsi="Times New Roman" w:cs="Times New Roman"/>
            <w:color w:val="0000FF"/>
            <w:sz w:val="24"/>
            <w:szCs w:val="24"/>
            <w:u w:val="single"/>
          </w:rPr>
          <w:t>Living with Floods: Ecological Wisdom in the Vietnamese Mekong Delta.</w:t>
        </w:r>
      </w:hyperlink>
    </w:p>
    <w:p w14:paraId="31D9F9C7"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73" w:history="1">
        <w:r w:rsidRPr="005665FF">
          <w:rPr>
            <w:rFonts w:ascii="Times New Roman" w:eastAsia="Times New Roman" w:hAnsi="Times New Roman" w:cs="Times New Roman"/>
            <w:color w:val="0000FF"/>
            <w:sz w:val="24"/>
            <w:szCs w:val="24"/>
            <w:u w:val="single"/>
          </w:rPr>
          <w:t xml:space="preserve">A study of coral reef resilience and implications of adaptive management and rehabilitation in </w:t>
        </w:r>
        <w:proofErr w:type="spellStart"/>
        <w:r w:rsidRPr="005665FF">
          <w:rPr>
            <w:rFonts w:ascii="Times New Roman" w:eastAsia="Times New Roman" w:hAnsi="Times New Roman" w:cs="Times New Roman"/>
            <w:color w:val="0000FF"/>
            <w:sz w:val="24"/>
            <w:szCs w:val="24"/>
            <w:u w:val="single"/>
          </w:rPr>
          <w:t>Khanh</w:t>
        </w:r>
        <w:proofErr w:type="spellEnd"/>
        <w:r w:rsidRPr="005665FF">
          <w:rPr>
            <w:rFonts w:ascii="Times New Roman" w:eastAsia="Times New Roman" w:hAnsi="Times New Roman" w:cs="Times New Roman"/>
            <w:color w:val="0000FF"/>
            <w:sz w:val="24"/>
            <w:szCs w:val="24"/>
            <w:u w:val="single"/>
          </w:rPr>
          <w:t xml:space="preserve"> </w:t>
        </w:r>
        <w:proofErr w:type="spellStart"/>
        <w:r w:rsidRPr="005665FF">
          <w:rPr>
            <w:rFonts w:ascii="Times New Roman" w:eastAsia="Times New Roman" w:hAnsi="Times New Roman" w:cs="Times New Roman"/>
            <w:color w:val="0000FF"/>
            <w:sz w:val="24"/>
            <w:szCs w:val="24"/>
            <w:u w:val="single"/>
          </w:rPr>
          <w:t>Hoa</w:t>
        </w:r>
        <w:proofErr w:type="spellEnd"/>
        <w:r w:rsidRPr="005665FF">
          <w:rPr>
            <w:rFonts w:ascii="Times New Roman" w:eastAsia="Times New Roman" w:hAnsi="Times New Roman" w:cs="Times New Roman"/>
            <w:color w:val="0000FF"/>
            <w:sz w:val="24"/>
            <w:szCs w:val="24"/>
            <w:u w:val="single"/>
          </w:rPr>
          <w:t xml:space="preserve"> Province, Vietnam.</w:t>
        </w:r>
      </w:hyperlink>
    </w:p>
    <w:p w14:paraId="12502495"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74" w:history="1">
        <w:r w:rsidRPr="005665FF">
          <w:rPr>
            <w:rFonts w:ascii="Times New Roman" w:eastAsia="Times New Roman" w:hAnsi="Times New Roman" w:cs="Times New Roman"/>
            <w:color w:val="0000FF"/>
            <w:sz w:val="24"/>
            <w:szCs w:val="24"/>
            <w:u w:val="single"/>
          </w:rPr>
          <w:t>Arsenic in drinking water – Recent examples and updates from Southeast Asia.</w:t>
        </w:r>
      </w:hyperlink>
    </w:p>
    <w:p w14:paraId="27982114"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75" w:history="1">
        <w:r w:rsidRPr="005665FF">
          <w:rPr>
            <w:rFonts w:ascii="Times New Roman" w:eastAsia="Times New Roman" w:hAnsi="Times New Roman" w:cs="Times New Roman"/>
            <w:color w:val="0000FF"/>
            <w:sz w:val="24"/>
            <w:szCs w:val="24"/>
            <w:u w:val="single"/>
          </w:rPr>
          <w:t>Biogeochemical phosphorus cycling in groundwater ecosystems – Insights from South and Southeast Asian floodplain and delta aquifers.</w:t>
        </w:r>
      </w:hyperlink>
    </w:p>
    <w:p w14:paraId="1239B18B"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76" w:history="1">
        <w:r w:rsidRPr="005665FF">
          <w:rPr>
            <w:rFonts w:ascii="Times New Roman" w:eastAsia="Times New Roman" w:hAnsi="Times New Roman" w:cs="Times New Roman"/>
            <w:color w:val="0000FF"/>
            <w:sz w:val="24"/>
            <w:szCs w:val="24"/>
            <w:u w:val="single"/>
          </w:rPr>
          <w:t>Contamination status and potential release of trace metals in a mangrove forest sediment in Ho Chi Minh City, Vietnam.</w:t>
        </w:r>
      </w:hyperlink>
    </w:p>
    <w:p w14:paraId="4A5CDA97"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77" w:history="1">
        <w:r w:rsidRPr="005665FF">
          <w:rPr>
            <w:rFonts w:ascii="Times New Roman" w:eastAsia="Times New Roman" w:hAnsi="Times New Roman" w:cs="Times New Roman"/>
            <w:color w:val="0000FF"/>
            <w:sz w:val="24"/>
            <w:szCs w:val="24"/>
            <w:u w:val="single"/>
          </w:rPr>
          <w:t>Output, environmental pollution and health nexus in Vietnam: an estimation of simultaneous model with panel data.</w:t>
        </w:r>
      </w:hyperlink>
    </w:p>
    <w:p w14:paraId="673ABC6D"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78" w:history="1">
        <w:proofErr w:type="spellStart"/>
        <w:r w:rsidRPr="005665FF">
          <w:rPr>
            <w:rFonts w:ascii="Times New Roman" w:eastAsia="Times New Roman" w:hAnsi="Times New Roman" w:cs="Times New Roman"/>
            <w:color w:val="0000FF"/>
            <w:sz w:val="24"/>
            <w:szCs w:val="24"/>
            <w:u w:val="single"/>
          </w:rPr>
          <w:t>educing</w:t>
        </w:r>
        <w:proofErr w:type="spellEnd"/>
        <w:r w:rsidRPr="005665FF">
          <w:rPr>
            <w:rFonts w:ascii="Times New Roman" w:eastAsia="Times New Roman" w:hAnsi="Times New Roman" w:cs="Times New Roman"/>
            <w:color w:val="0000FF"/>
            <w:sz w:val="24"/>
            <w:szCs w:val="24"/>
            <w:u w:val="single"/>
          </w:rPr>
          <w:t xml:space="preserve"> emissions of the </w:t>
        </w:r>
        <w:proofErr w:type="gramStart"/>
        <w:r w:rsidRPr="005665FF">
          <w:rPr>
            <w:rFonts w:ascii="Times New Roman" w:eastAsia="Times New Roman" w:hAnsi="Times New Roman" w:cs="Times New Roman"/>
            <w:color w:val="0000FF"/>
            <w:sz w:val="24"/>
            <w:szCs w:val="24"/>
            <w:u w:val="single"/>
          </w:rPr>
          <w:t>fast growing</w:t>
        </w:r>
        <w:proofErr w:type="gramEnd"/>
        <w:r w:rsidRPr="005665FF">
          <w:rPr>
            <w:rFonts w:ascii="Times New Roman" w:eastAsia="Times New Roman" w:hAnsi="Times New Roman" w:cs="Times New Roman"/>
            <w:color w:val="0000FF"/>
            <w:sz w:val="24"/>
            <w:szCs w:val="24"/>
            <w:u w:val="single"/>
          </w:rPr>
          <w:t xml:space="preserve"> Vietnamese coal sector: the chances offered by biomass co-firing.</w:t>
        </w:r>
      </w:hyperlink>
    </w:p>
    <w:p w14:paraId="535B9F2D" w14:textId="77777777" w:rsidR="005665FF" w:rsidRPr="005665FF" w:rsidRDefault="005665FF" w:rsidP="005665F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79" w:history="1">
        <w:r w:rsidRPr="005665FF">
          <w:rPr>
            <w:rFonts w:ascii="Times New Roman" w:eastAsia="Times New Roman" w:hAnsi="Times New Roman" w:cs="Times New Roman"/>
            <w:color w:val="0000FF"/>
            <w:sz w:val="24"/>
            <w:szCs w:val="24"/>
            <w:u w:val="single"/>
          </w:rPr>
          <w:t>Informal Recycling and Social Preferences: Evidence from Household Survey Data in Vietnam.</w:t>
        </w:r>
      </w:hyperlink>
    </w:p>
    <w:p w14:paraId="7CF66BAB"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080" w:history="1">
        <w:r w:rsidRPr="005665FF">
          <w:rPr>
            <w:rFonts w:ascii="Times New Roman" w:eastAsia="Times New Roman" w:hAnsi="Times New Roman" w:cs="Times New Roman"/>
            <w:color w:val="0000FF"/>
            <w:sz w:val="24"/>
            <w:szCs w:val="24"/>
            <w:u w:val="single"/>
          </w:rPr>
          <w:t>GENDER ISSUES</w:t>
        </w:r>
      </w:hyperlink>
    </w:p>
    <w:p w14:paraId="148D75A9" w14:textId="77777777" w:rsidR="005665FF" w:rsidRPr="005665FF" w:rsidRDefault="005665FF" w:rsidP="005665F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81" w:history="1">
        <w:r w:rsidRPr="005665FF">
          <w:rPr>
            <w:rFonts w:ascii="Times New Roman" w:eastAsia="Times New Roman" w:hAnsi="Times New Roman" w:cs="Times New Roman"/>
            <w:color w:val="0000FF"/>
            <w:sz w:val="24"/>
            <w:szCs w:val="24"/>
            <w:u w:val="single"/>
          </w:rPr>
          <w:t>Changing male perceptions of gender equality: Evidence from an experimental study.</w:t>
        </w:r>
      </w:hyperlink>
    </w:p>
    <w:p w14:paraId="11E795A9" w14:textId="77777777" w:rsidR="005665FF" w:rsidRPr="005665FF" w:rsidRDefault="005665FF" w:rsidP="005665F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82" w:history="1">
        <w:r w:rsidRPr="005665FF">
          <w:rPr>
            <w:rFonts w:ascii="Times New Roman" w:eastAsia="Times New Roman" w:hAnsi="Times New Roman" w:cs="Times New Roman"/>
            <w:color w:val="0000FF"/>
            <w:sz w:val="24"/>
            <w:szCs w:val="24"/>
            <w:u w:val="single"/>
          </w:rPr>
          <w:t>Decomposing Vietnamese gender equality in terms of wage distribution.</w:t>
        </w:r>
      </w:hyperlink>
    </w:p>
    <w:p w14:paraId="7C652FE2" w14:textId="77777777" w:rsidR="005665FF" w:rsidRPr="005665FF" w:rsidRDefault="005665FF" w:rsidP="005665F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83" w:history="1">
        <w:r w:rsidRPr="005665FF">
          <w:rPr>
            <w:rFonts w:ascii="Times New Roman" w:eastAsia="Times New Roman" w:hAnsi="Times New Roman" w:cs="Times New Roman"/>
            <w:color w:val="0000FF"/>
            <w:sz w:val="24"/>
            <w:szCs w:val="24"/>
            <w:u w:val="single"/>
          </w:rPr>
          <w:t>Disasters, Ruins, and Crises: Masculinity and Ramifications of Storms in Vietnam.</w:t>
        </w:r>
      </w:hyperlink>
    </w:p>
    <w:p w14:paraId="50EAF9D8" w14:textId="77777777" w:rsidR="005665FF" w:rsidRPr="005665FF" w:rsidRDefault="005665FF" w:rsidP="005665F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84" w:history="1">
        <w:r w:rsidRPr="005665FF">
          <w:rPr>
            <w:rFonts w:ascii="Times New Roman" w:eastAsia="Times New Roman" w:hAnsi="Times New Roman" w:cs="Times New Roman"/>
            <w:color w:val="0000FF"/>
            <w:sz w:val="24"/>
            <w:szCs w:val="24"/>
            <w:u w:val="single"/>
          </w:rPr>
          <w:t>Increasing women's leadership in science in Ho Chi Minh City.</w:t>
        </w:r>
      </w:hyperlink>
    </w:p>
    <w:p w14:paraId="617FC056" w14:textId="77777777" w:rsidR="005665FF" w:rsidRPr="005665FF" w:rsidRDefault="005665FF" w:rsidP="005665F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85" w:history="1">
        <w:proofErr w:type="spellStart"/>
        <w:r w:rsidRPr="005665FF">
          <w:rPr>
            <w:rFonts w:ascii="Times New Roman" w:eastAsia="Times New Roman" w:hAnsi="Times New Roman" w:cs="Times New Roman"/>
            <w:color w:val="0000FF"/>
            <w:sz w:val="24"/>
            <w:szCs w:val="24"/>
            <w:u w:val="single"/>
          </w:rPr>
          <w:t>Recognising</w:t>
        </w:r>
        <w:proofErr w:type="spellEnd"/>
        <w:r w:rsidRPr="005665FF">
          <w:rPr>
            <w:rFonts w:ascii="Times New Roman" w:eastAsia="Times New Roman" w:hAnsi="Times New Roman" w:cs="Times New Roman"/>
            <w:color w:val="0000FF"/>
            <w:sz w:val="24"/>
            <w:szCs w:val="24"/>
            <w:u w:val="single"/>
          </w:rPr>
          <w:t xml:space="preserve"> shadows: masculinism, resistance, and recognition in Vietnam.</w:t>
        </w:r>
      </w:hyperlink>
    </w:p>
    <w:p w14:paraId="7D02A085"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086" w:history="1">
        <w:r w:rsidRPr="005665FF">
          <w:rPr>
            <w:rFonts w:ascii="Times New Roman" w:eastAsia="Times New Roman" w:hAnsi="Times New Roman" w:cs="Times New Roman"/>
            <w:color w:val="0000FF"/>
            <w:sz w:val="24"/>
            <w:szCs w:val="24"/>
            <w:u w:val="single"/>
          </w:rPr>
          <w:t>GOVERNANCE</w:t>
        </w:r>
      </w:hyperlink>
    </w:p>
    <w:p w14:paraId="68D50321" w14:textId="77777777" w:rsidR="005665FF" w:rsidRPr="005665FF" w:rsidRDefault="005665FF" w:rsidP="005665FF">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87" w:history="1">
        <w:r w:rsidRPr="005665FF">
          <w:rPr>
            <w:rFonts w:ascii="Times New Roman" w:eastAsia="Times New Roman" w:hAnsi="Times New Roman" w:cs="Times New Roman"/>
            <w:color w:val="0000FF"/>
            <w:sz w:val="24"/>
            <w:szCs w:val="24"/>
            <w:u w:val="single"/>
          </w:rPr>
          <w:t>The Impact of Public Governance on Household Income: A Quantile Panel Analysis.</w:t>
        </w:r>
      </w:hyperlink>
    </w:p>
    <w:p w14:paraId="4EE5E9B8" w14:textId="77777777" w:rsidR="005665FF" w:rsidRPr="005665FF" w:rsidRDefault="005665FF" w:rsidP="005665FF">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88" w:history="1">
        <w:r w:rsidRPr="005665FF">
          <w:rPr>
            <w:rFonts w:ascii="Times New Roman" w:eastAsia="Times New Roman" w:hAnsi="Times New Roman" w:cs="Times New Roman"/>
            <w:color w:val="0000FF"/>
            <w:sz w:val="24"/>
            <w:szCs w:val="24"/>
            <w:u w:val="single"/>
          </w:rPr>
          <w:t>Leadership Reshuffle and the Future of Vietnam’s Collective Leadership.</w:t>
        </w:r>
      </w:hyperlink>
    </w:p>
    <w:p w14:paraId="654424CA" w14:textId="77777777" w:rsidR="005665FF" w:rsidRPr="005665FF" w:rsidRDefault="005665FF" w:rsidP="005665FF">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89" w:history="1">
        <w:r w:rsidRPr="005665FF">
          <w:rPr>
            <w:rFonts w:ascii="Times New Roman" w:eastAsia="Times New Roman" w:hAnsi="Times New Roman" w:cs="Times New Roman"/>
            <w:color w:val="0000FF"/>
            <w:sz w:val="24"/>
            <w:szCs w:val="24"/>
            <w:u w:val="single"/>
          </w:rPr>
          <w:t>Vietnam: A pathway from state socialism.</w:t>
        </w:r>
      </w:hyperlink>
    </w:p>
    <w:p w14:paraId="02443746"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090" w:history="1">
        <w:r w:rsidRPr="005665FF">
          <w:rPr>
            <w:rFonts w:ascii="Times New Roman" w:eastAsia="Times New Roman" w:hAnsi="Times New Roman" w:cs="Times New Roman"/>
            <w:color w:val="0000FF"/>
            <w:sz w:val="24"/>
            <w:szCs w:val="24"/>
            <w:u w:val="single"/>
          </w:rPr>
          <w:t>HEALTH CARE</w:t>
        </w:r>
      </w:hyperlink>
    </w:p>
    <w:p w14:paraId="0E091C66"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91" w:history="1">
        <w:r w:rsidRPr="005665FF">
          <w:rPr>
            <w:rFonts w:ascii="Times New Roman" w:eastAsia="Times New Roman" w:hAnsi="Times New Roman" w:cs="Times New Roman"/>
            <w:color w:val="0000FF"/>
            <w:sz w:val="24"/>
            <w:szCs w:val="24"/>
            <w:u w:val="single"/>
          </w:rPr>
          <w:t>High level of multidrug-resistant Escherichia coli in young dairy calves in southern Vietnam.</w:t>
        </w:r>
      </w:hyperlink>
    </w:p>
    <w:p w14:paraId="0E932FBB"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92" w:history="1">
        <w:r w:rsidRPr="005665FF">
          <w:rPr>
            <w:rFonts w:ascii="Times New Roman" w:eastAsia="Times New Roman" w:hAnsi="Times New Roman" w:cs="Times New Roman"/>
            <w:color w:val="0000FF"/>
            <w:sz w:val="24"/>
            <w:szCs w:val="24"/>
            <w:u w:val="single"/>
          </w:rPr>
          <w:t>A General Pathway Model for Improving Health Disparities: Lessons from Community and Cultural Involvement in Improving Cervical Cancer Screening in Vietnamese Women.</w:t>
        </w:r>
      </w:hyperlink>
    </w:p>
    <w:p w14:paraId="3F9AC5AB"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93" w:history="1">
        <w:proofErr w:type="spellStart"/>
        <w:r w:rsidRPr="005665FF">
          <w:rPr>
            <w:rFonts w:ascii="Times New Roman" w:eastAsia="Times New Roman" w:hAnsi="Times New Roman" w:cs="Times New Roman"/>
            <w:color w:val="0000FF"/>
            <w:sz w:val="24"/>
            <w:szCs w:val="24"/>
            <w:u w:val="single"/>
          </w:rPr>
          <w:t>Optimising</w:t>
        </w:r>
        <w:proofErr w:type="spellEnd"/>
        <w:r w:rsidRPr="005665FF">
          <w:rPr>
            <w:rFonts w:ascii="Times New Roman" w:eastAsia="Times New Roman" w:hAnsi="Times New Roman" w:cs="Times New Roman"/>
            <w:color w:val="0000FF"/>
            <w:sz w:val="24"/>
            <w:szCs w:val="24"/>
            <w:u w:val="single"/>
          </w:rPr>
          <w:t xml:space="preserve"> the detectability of H5N1 and H5N6 highly pathogenic avian influenza viruses in Vietnamese live-bird markets.</w:t>
        </w:r>
      </w:hyperlink>
    </w:p>
    <w:p w14:paraId="2F9DF575"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94" w:history="1">
        <w:r w:rsidRPr="005665FF">
          <w:rPr>
            <w:rFonts w:ascii="Times New Roman" w:eastAsia="Times New Roman" w:hAnsi="Times New Roman" w:cs="Times New Roman"/>
            <w:color w:val="0000FF"/>
            <w:sz w:val="24"/>
            <w:szCs w:val="24"/>
            <w:u w:val="single"/>
          </w:rPr>
          <w:t>Heterogeneity in the effect of mid-childhood height and weight gain on human capital at age 14-15 years: Evidence from Ethiopia, India, Peru, and Vietnam.</w:t>
        </w:r>
      </w:hyperlink>
    </w:p>
    <w:p w14:paraId="59DE5628"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95" w:history="1">
        <w:r w:rsidRPr="005665FF">
          <w:rPr>
            <w:rFonts w:ascii="Times New Roman" w:eastAsia="Times New Roman" w:hAnsi="Times New Roman" w:cs="Times New Roman"/>
            <w:color w:val="0000FF"/>
            <w:sz w:val="24"/>
            <w:szCs w:val="24"/>
            <w:u w:val="single"/>
          </w:rPr>
          <w:t xml:space="preserve">Is obesity associated with decreased health-related quality of life in school-age </w:t>
        </w:r>
        <w:proofErr w:type="gramStart"/>
        <w:r w:rsidRPr="005665FF">
          <w:rPr>
            <w:rFonts w:ascii="Times New Roman" w:eastAsia="Times New Roman" w:hAnsi="Times New Roman" w:cs="Times New Roman"/>
            <w:color w:val="0000FF"/>
            <w:sz w:val="24"/>
            <w:szCs w:val="24"/>
            <w:u w:val="single"/>
          </w:rPr>
          <w:t>children?-</w:t>
        </w:r>
        <w:proofErr w:type="gramEnd"/>
        <w:r w:rsidRPr="005665FF">
          <w:rPr>
            <w:rFonts w:ascii="Times New Roman" w:eastAsia="Times New Roman" w:hAnsi="Times New Roman" w:cs="Times New Roman"/>
            <w:color w:val="0000FF"/>
            <w:sz w:val="24"/>
            <w:szCs w:val="24"/>
            <w:u w:val="single"/>
          </w:rPr>
          <w:t>Results from a survey in Vietnam.</w:t>
        </w:r>
      </w:hyperlink>
    </w:p>
    <w:p w14:paraId="419C0F67"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96" w:history="1">
        <w:r w:rsidRPr="005665FF">
          <w:rPr>
            <w:rFonts w:ascii="Times New Roman" w:eastAsia="Times New Roman" w:hAnsi="Times New Roman" w:cs="Times New Roman"/>
            <w:color w:val="0000FF"/>
            <w:sz w:val="24"/>
            <w:szCs w:val="24"/>
            <w:u w:val="single"/>
          </w:rPr>
          <w:t>Barriers to Engaging Communities in a Dengue Vector Control Program: An Implementation Research in an Urban Area in Hanoi City, Vietnam.</w:t>
        </w:r>
      </w:hyperlink>
    </w:p>
    <w:p w14:paraId="1B07B837"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97" w:history="1">
        <w:r w:rsidRPr="005665FF">
          <w:rPr>
            <w:rFonts w:ascii="Times New Roman" w:eastAsia="Times New Roman" w:hAnsi="Times New Roman" w:cs="Times New Roman"/>
            <w:color w:val="0000FF"/>
            <w:sz w:val="24"/>
            <w:szCs w:val="24"/>
            <w:u w:val="single"/>
          </w:rPr>
          <w:t>Containing Contagion: The Politics of Disease Outbreaks in Southeast Asia.</w:t>
        </w:r>
      </w:hyperlink>
    </w:p>
    <w:p w14:paraId="1232C8A3"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98" w:history="1">
        <w:r w:rsidRPr="005665FF">
          <w:rPr>
            <w:rFonts w:ascii="Times New Roman" w:eastAsia="Times New Roman" w:hAnsi="Times New Roman" w:cs="Times New Roman"/>
            <w:color w:val="0000FF"/>
            <w:sz w:val="24"/>
            <w:szCs w:val="24"/>
            <w:u w:val="single"/>
          </w:rPr>
          <w:t>Estimating the economic impact of canine rabies to Viet Nam 2005-2014.</w:t>
        </w:r>
      </w:hyperlink>
    </w:p>
    <w:p w14:paraId="4147C099"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099" w:history="1">
        <w:r w:rsidRPr="005665FF">
          <w:rPr>
            <w:rFonts w:ascii="Times New Roman" w:eastAsia="Times New Roman" w:hAnsi="Times New Roman" w:cs="Times New Roman"/>
            <w:color w:val="0000FF"/>
            <w:sz w:val="24"/>
            <w:szCs w:val="24"/>
            <w:u w:val="single"/>
          </w:rPr>
          <w:t>Household contact investigation for the detection of tuberculosis in Vietnam: economic evaluation of a cluster-</w:t>
        </w:r>
        <w:proofErr w:type="spellStart"/>
        <w:r w:rsidRPr="005665FF">
          <w:rPr>
            <w:rFonts w:ascii="Times New Roman" w:eastAsia="Times New Roman" w:hAnsi="Times New Roman" w:cs="Times New Roman"/>
            <w:color w:val="0000FF"/>
            <w:sz w:val="24"/>
            <w:szCs w:val="24"/>
            <w:u w:val="single"/>
          </w:rPr>
          <w:t>randomised</w:t>
        </w:r>
        <w:proofErr w:type="spellEnd"/>
        <w:r w:rsidRPr="005665FF">
          <w:rPr>
            <w:rFonts w:ascii="Times New Roman" w:eastAsia="Times New Roman" w:hAnsi="Times New Roman" w:cs="Times New Roman"/>
            <w:color w:val="0000FF"/>
            <w:sz w:val="24"/>
            <w:szCs w:val="24"/>
            <w:u w:val="single"/>
          </w:rPr>
          <w:t xml:space="preserve"> trial.</w:t>
        </w:r>
      </w:hyperlink>
    </w:p>
    <w:p w14:paraId="78B48DF0"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00" w:history="1">
        <w:r w:rsidRPr="005665FF">
          <w:rPr>
            <w:rFonts w:ascii="Times New Roman" w:eastAsia="Times New Roman" w:hAnsi="Times New Roman" w:cs="Times New Roman"/>
            <w:color w:val="0000FF"/>
            <w:sz w:val="24"/>
            <w:szCs w:val="24"/>
            <w:u w:val="single"/>
          </w:rPr>
          <w:t xml:space="preserve">The impact of targeted malaria elimination with mass drug administrations on falciparum malaria in Southeast Asia: A cluster </w:t>
        </w:r>
        <w:proofErr w:type="spellStart"/>
        <w:r w:rsidRPr="005665FF">
          <w:rPr>
            <w:rFonts w:ascii="Times New Roman" w:eastAsia="Times New Roman" w:hAnsi="Times New Roman" w:cs="Times New Roman"/>
            <w:color w:val="0000FF"/>
            <w:sz w:val="24"/>
            <w:szCs w:val="24"/>
            <w:u w:val="single"/>
          </w:rPr>
          <w:t>randomised</w:t>
        </w:r>
        <w:proofErr w:type="spellEnd"/>
        <w:r w:rsidRPr="005665FF">
          <w:rPr>
            <w:rFonts w:ascii="Times New Roman" w:eastAsia="Times New Roman" w:hAnsi="Times New Roman" w:cs="Times New Roman"/>
            <w:color w:val="0000FF"/>
            <w:sz w:val="24"/>
            <w:szCs w:val="24"/>
            <w:u w:val="single"/>
          </w:rPr>
          <w:t xml:space="preserve"> trial.</w:t>
        </w:r>
      </w:hyperlink>
    </w:p>
    <w:p w14:paraId="41B620A8"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01" w:history="1">
        <w:r w:rsidRPr="005665FF">
          <w:rPr>
            <w:rFonts w:ascii="Times New Roman" w:eastAsia="Times New Roman" w:hAnsi="Times New Roman" w:cs="Times New Roman"/>
            <w:color w:val="0000FF"/>
            <w:sz w:val="24"/>
            <w:szCs w:val="24"/>
            <w:u w:val="single"/>
          </w:rPr>
          <w:t>Implementation of national action plans on noncommunicable diseases, Bhutan, Cambodia, Indonesia, Philippines, Sri Lanka, Thailand and Viet Nam.</w:t>
        </w:r>
      </w:hyperlink>
    </w:p>
    <w:p w14:paraId="030F993D"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02" w:history="1">
        <w:r w:rsidRPr="005665FF">
          <w:rPr>
            <w:rFonts w:ascii="Times New Roman" w:eastAsia="Times New Roman" w:hAnsi="Times New Roman" w:cs="Times New Roman"/>
            <w:color w:val="0000FF"/>
            <w:sz w:val="24"/>
            <w:szCs w:val="24"/>
            <w:u w:val="single"/>
          </w:rPr>
          <w:t>Knowledge, Preference, and Willingness to Pay for Hepatitis B Vaccination Services among Woman of Reproductive Age in Vietnam.</w:t>
        </w:r>
      </w:hyperlink>
    </w:p>
    <w:p w14:paraId="08766239"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03" w:history="1">
        <w:proofErr w:type="spellStart"/>
        <w:r w:rsidRPr="005665FF">
          <w:rPr>
            <w:rFonts w:ascii="Times New Roman" w:eastAsia="Times New Roman" w:hAnsi="Times New Roman" w:cs="Times New Roman"/>
            <w:color w:val="0000FF"/>
            <w:sz w:val="24"/>
            <w:szCs w:val="24"/>
            <w:u w:val="single"/>
          </w:rPr>
          <w:t>Paediatric</w:t>
        </w:r>
        <w:proofErr w:type="spellEnd"/>
        <w:r w:rsidRPr="005665FF">
          <w:rPr>
            <w:rFonts w:ascii="Times New Roman" w:eastAsia="Times New Roman" w:hAnsi="Times New Roman" w:cs="Times New Roman"/>
            <w:color w:val="0000FF"/>
            <w:sz w:val="24"/>
            <w:szCs w:val="24"/>
            <w:u w:val="single"/>
          </w:rPr>
          <w:t xml:space="preserve"> use of antibiotics in children with community acquired pneumonia: A survey from Da Nang, Vietnam.</w:t>
        </w:r>
      </w:hyperlink>
    </w:p>
    <w:p w14:paraId="40A2ECDE"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04" w:history="1">
        <w:r w:rsidRPr="005665FF">
          <w:rPr>
            <w:rFonts w:ascii="Times New Roman" w:eastAsia="Times New Roman" w:hAnsi="Times New Roman" w:cs="Times New Roman"/>
            <w:color w:val="0000FF"/>
            <w:sz w:val="24"/>
            <w:szCs w:val="24"/>
            <w:u w:val="single"/>
          </w:rPr>
          <w:t>The possible zoonotic diseases transferring from pig to human in Vietnam.</w:t>
        </w:r>
      </w:hyperlink>
    </w:p>
    <w:p w14:paraId="4565C80C"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05" w:history="1">
        <w:r w:rsidRPr="005665FF">
          <w:rPr>
            <w:rFonts w:ascii="Times New Roman" w:eastAsia="Times New Roman" w:hAnsi="Times New Roman" w:cs="Times New Roman"/>
            <w:color w:val="0000FF"/>
            <w:sz w:val="24"/>
            <w:szCs w:val="24"/>
            <w:u w:val="single"/>
          </w:rPr>
          <w:t xml:space="preserve">Prevalence and Risk Factors of Dengue Infection in </w:t>
        </w:r>
        <w:proofErr w:type="spellStart"/>
        <w:r w:rsidRPr="005665FF">
          <w:rPr>
            <w:rFonts w:ascii="Times New Roman" w:eastAsia="Times New Roman" w:hAnsi="Times New Roman" w:cs="Times New Roman"/>
            <w:color w:val="0000FF"/>
            <w:sz w:val="24"/>
            <w:szCs w:val="24"/>
            <w:u w:val="single"/>
          </w:rPr>
          <w:t>Khanh</w:t>
        </w:r>
        <w:proofErr w:type="spellEnd"/>
        <w:r w:rsidRPr="005665FF">
          <w:rPr>
            <w:rFonts w:ascii="Times New Roman" w:eastAsia="Times New Roman" w:hAnsi="Times New Roman" w:cs="Times New Roman"/>
            <w:color w:val="0000FF"/>
            <w:sz w:val="24"/>
            <w:szCs w:val="24"/>
            <w:u w:val="single"/>
          </w:rPr>
          <w:t xml:space="preserve"> </w:t>
        </w:r>
        <w:proofErr w:type="spellStart"/>
        <w:r w:rsidRPr="005665FF">
          <w:rPr>
            <w:rFonts w:ascii="Times New Roman" w:eastAsia="Times New Roman" w:hAnsi="Times New Roman" w:cs="Times New Roman"/>
            <w:color w:val="0000FF"/>
            <w:sz w:val="24"/>
            <w:szCs w:val="24"/>
            <w:u w:val="single"/>
          </w:rPr>
          <w:t>Hoa</w:t>
        </w:r>
        <w:proofErr w:type="spellEnd"/>
        <w:r w:rsidRPr="005665FF">
          <w:rPr>
            <w:rFonts w:ascii="Times New Roman" w:eastAsia="Times New Roman" w:hAnsi="Times New Roman" w:cs="Times New Roman"/>
            <w:color w:val="0000FF"/>
            <w:sz w:val="24"/>
            <w:szCs w:val="24"/>
            <w:u w:val="single"/>
          </w:rPr>
          <w:t xml:space="preserve"> Province, Viet Nam: A Stratified Cluster Sampling Survey.</w:t>
        </w:r>
      </w:hyperlink>
    </w:p>
    <w:p w14:paraId="6CB842E2"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06" w:history="1">
        <w:r w:rsidRPr="005665FF">
          <w:rPr>
            <w:rFonts w:ascii="Times New Roman" w:eastAsia="Times New Roman" w:hAnsi="Times New Roman" w:cs="Times New Roman"/>
            <w:color w:val="0000FF"/>
            <w:sz w:val="24"/>
            <w:szCs w:val="24"/>
            <w:u w:val="single"/>
          </w:rPr>
          <w:t>Prevalence of Hypertension in Vietnam: A Systematic Review and Meta-Analysis.</w:t>
        </w:r>
      </w:hyperlink>
    </w:p>
    <w:p w14:paraId="73EABFB9"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07" w:history="1">
        <w:proofErr w:type="spellStart"/>
        <w:r w:rsidRPr="005665FF">
          <w:rPr>
            <w:rFonts w:ascii="Times New Roman" w:eastAsia="Times New Roman" w:hAnsi="Times New Roman" w:cs="Times New Roman"/>
            <w:color w:val="0000FF"/>
            <w:sz w:val="24"/>
            <w:szCs w:val="24"/>
            <w:u w:val="single"/>
          </w:rPr>
          <w:t>Sero</w:t>
        </w:r>
        <w:proofErr w:type="spellEnd"/>
        <w:r w:rsidRPr="005665FF">
          <w:rPr>
            <w:rFonts w:ascii="Times New Roman" w:eastAsia="Times New Roman" w:hAnsi="Times New Roman" w:cs="Times New Roman"/>
            <w:color w:val="0000FF"/>
            <w:sz w:val="24"/>
            <w:szCs w:val="24"/>
            <w:u w:val="single"/>
          </w:rPr>
          <w:t>-prevalence surveillance to predict vaccine-preventable disease outbreaks; a lesson from the 2014 measles epidemic in northern Vietnam.</w:t>
        </w:r>
      </w:hyperlink>
    </w:p>
    <w:p w14:paraId="0FCA2481"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08" w:history="1">
        <w:r w:rsidRPr="005665FF">
          <w:rPr>
            <w:rFonts w:ascii="Times New Roman" w:eastAsia="Times New Roman" w:hAnsi="Times New Roman" w:cs="Times New Roman"/>
            <w:color w:val="0000FF"/>
            <w:sz w:val="24"/>
            <w:szCs w:val="24"/>
            <w:u w:val="single"/>
          </w:rPr>
          <w:t>Socioeconomic inequalities in alcohol use and some related consequences from a household perspective in Vietnam.</w:t>
        </w:r>
      </w:hyperlink>
    </w:p>
    <w:p w14:paraId="58E72BEC"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09" w:history="1">
        <w:r w:rsidRPr="005665FF">
          <w:rPr>
            <w:rFonts w:ascii="Times New Roman" w:eastAsia="Times New Roman" w:hAnsi="Times New Roman" w:cs="Times New Roman"/>
            <w:color w:val="0000FF"/>
            <w:sz w:val="24"/>
            <w:szCs w:val="24"/>
            <w:u w:val="single"/>
          </w:rPr>
          <w:t xml:space="preserve">Some experience of Japan in doctoral of nursing education: Quest of balanced research education in coming doctoral course in Nam </w:t>
        </w:r>
        <w:proofErr w:type="spellStart"/>
        <w:r w:rsidRPr="005665FF">
          <w:rPr>
            <w:rFonts w:ascii="Times New Roman" w:eastAsia="Times New Roman" w:hAnsi="Times New Roman" w:cs="Times New Roman"/>
            <w:color w:val="0000FF"/>
            <w:sz w:val="24"/>
            <w:szCs w:val="24"/>
            <w:u w:val="single"/>
          </w:rPr>
          <w:t>Dinh</w:t>
        </w:r>
        <w:proofErr w:type="spellEnd"/>
        <w:r w:rsidRPr="005665FF">
          <w:rPr>
            <w:rFonts w:ascii="Times New Roman" w:eastAsia="Times New Roman" w:hAnsi="Times New Roman" w:cs="Times New Roman"/>
            <w:color w:val="0000FF"/>
            <w:sz w:val="24"/>
            <w:szCs w:val="24"/>
            <w:u w:val="single"/>
          </w:rPr>
          <w:t xml:space="preserve"> University of Nursing, Vietnam.</w:t>
        </w:r>
      </w:hyperlink>
    </w:p>
    <w:p w14:paraId="378CEC61"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10" w:history="1">
        <w:r w:rsidRPr="005665FF">
          <w:rPr>
            <w:rFonts w:ascii="Times New Roman" w:eastAsia="Times New Roman" w:hAnsi="Times New Roman" w:cs="Times New Roman"/>
            <w:color w:val="0000FF"/>
            <w:sz w:val="24"/>
            <w:szCs w:val="24"/>
            <w:u w:val="single"/>
          </w:rPr>
          <w:t xml:space="preserve">Association of ambient air pollution with lengths of hospital stay for </w:t>
        </w:r>
        <w:proofErr w:type="spellStart"/>
        <w:r w:rsidRPr="005665FF">
          <w:rPr>
            <w:rFonts w:ascii="Times New Roman" w:eastAsia="Times New Roman" w:hAnsi="Times New Roman" w:cs="Times New Roman"/>
            <w:color w:val="0000FF"/>
            <w:sz w:val="24"/>
            <w:szCs w:val="24"/>
            <w:u w:val="single"/>
          </w:rPr>
          <w:t>hanoi</w:t>
        </w:r>
        <w:proofErr w:type="spellEnd"/>
        <w:r w:rsidRPr="005665FF">
          <w:rPr>
            <w:rFonts w:ascii="Times New Roman" w:eastAsia="Times New Roman" w:hAnsi="Times New Roman" w:cs="Times New Roman"/>
            <w:color w:val="0000FF"/>
            <w:sz w:val="24"/>
            <w:szCs w:val="24"/>
            <w:u w:val="single"/>
          </w:rPr>
          <w:t xml:space="preserve"> children with acute lower-respiratory infection, 2007–2016.</w:t>
        </w:r>
      </w:hyperlink>
    </w:p>
    <w:p w14:paraId="34551171"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11" w:history="1">
        <w:r w:rsidRPr="005665FF">
          <w:rPr>
            <w:rFonts w:ascii="Times New Roman" w:eastAsia="Times New Roman" w:hAnsi="Times New Roman" w:cs="Times New Roman"/>
            <w:color w:val="0000FF"/>
            <w:sz w:val="24"/>
            <w:szCs w:val="24"/>
            <w:u w:val="single"/>
          </w:rPr>
          <w:t>Effects of Extreme Temperatures on Mortality and Hospitalization in Ho Chi Minh City, Vietnam.</w:t>
        </w:r>
      </w:hyperlink>
    </w:p>
    <w:p w14:paraId="3E8AEB7A"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12" w:history="1">
        <w:r w:rsidRPr="005665FF">
          <w:rPr>
            <w:rFonts w:ascii="Times New Roman" w:eastAsia="Times New Roman" w:hAnsi="Times New Roman" w:cs="Times New Roman"/>
            <w:color w:val="0000FF"/>
            <w:sz w:val="24"/>
            <w:szCs w:val="24"/>
            <w:u w:val="single"/>
          </w:rPr>
          <w:t>Effects of weather on human capital in Vietnam.</w:t>
        </w:r>
      </w:hyperlink>
    </w:p>
    <w:p w14:paraId="72786F79"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13" w:history="1">
        <w:r w:rsidRPr="005665FF">
          <w:rPr>
            <w:rFonts w:ascii="Times New Roman" w:eastAsia="Times New Roman" w:hAnsi="Times New Roman" w:cs="Times New Roman"/>
            <w:color w:val="0000FF"/>
            <w:sz w:val="24"/>
            <w:szCs w:val="24"/>
            <w:u w:val="single"/>
          </w:rPr>
          <w:t xml:space="preserve">Exploring affordability and healthcare-seeking </w:t>
        </w:r>
        <w:proofErr w:type="spellStart"/>
        <w:r w:rsidRPr="005665FF">
          <w:rPr>
            <w:rFonts w:ascii="Times New Roman" w:eastAsia="Times New Roman" w:hAnsi="Times New Roman" w:cs="Times New Roman"/>
            <w:color w:val="0000FF"/>
            <w:sz w:val="24"/>
            <w:szCs w:val="24"/>
            <w:u w:val="single"/>
          </w:rPr>
          <w:t>behaviour</w:t>
        </w:r>
        <w:proofErr w:type="spellEnd"/>
        <w:r w:rsidRPr="005665FF">
          <w:rPr>
            <w:rFonts w:ascii="Times New Roman" w:eastAsia="Times New Roman" w:hAnsi="Times New Roman" w:cs="Times New Roman"/>
            <w:color w:val="0000FF"/>
            <w:sz w:val="24"/>
            <w:szCs w:val="24"/>
            <w:u w:val="single"/>
          </w:rPr>
          <w:t xml:space="preserve"> for delivery and antenatal care among the poor and ethnic minorities in rural Northwestern Viet Nam.</w:t>
        </w:r>
      </w:hyperlink>
    </w:p>
    <w:p w14:paraId="11597217"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14" w:history="1">
        <w:r w:rsidRPr="005665FF">
          <w:rPr>
            <w:rFonts w:ascii="Times New Roman" w:eastAsia="Times New Roman" w:hAnsi="Times New Roman" w:cs="Times New Roman"/>
            <w:color w:val="0000FF"/>
            <w:sz w:val="24"/>
            <w:szCs w:val="24"/>
            <w:u w:val="single"/>
          </w:rPr>
          <w:t>Development of the food safety labelling technique for applied business in the Vietnamese retail food industry.</w:t>
        </w:r>
      </w:hyperlink>
    </w:p>
    <w:p w14:paraId="2F7A9D05"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15" w:history="1">
        <w:r w:rsidRPr="005665FF">
          <w:rPr>
            <w:rFonts w:ascii="Times New Roman" w:eastAsia="Times New Roman" w:hAnsi="Times New Roman" w:cs="Times New Roman"/>
            <w:color w:val="0000FF"/>
            <w:sz w:val="24"/>
            <w:szCs w:val="24"/>
            <w:u w:val="single"/>
          </w:rPr>
          <w:t>Growth among children infected with HIV receiving Antiretroviral Therapy in Vietnam.</w:t>
        </w:r>
      </w:hyperlink>
    </w:p>
    <w:p w14:paraId="0DE6994B"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16" w:history="1">
        <w:r w:rsidRPr="005665FF">
          <w:rPr>
            <w:rFonts w:ascii="Times New Roman" w:eastAsia="Times New Roman" w:hAnsi="Times New Roman" w:cs="Times New Roman"/>
            <w:color w:val="0000FF"/>
            <w:sz w:val="24"/>
            <w:szCs w:val="24"/>
            <w:u w:val="single"/>
          </w:rPr>
          <w:t>HIV- and AIDS-related knowledge and attitude of residents in border regions of Vietnam.</w:t>
        </w:r>
      </w:hyperlink>
    </w:p>
    <w:p w14:paraId="629388DE"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17" w:history="1">
        <w:r w:rsidRPr="005665FF">
          <w:rPr>
            <w:rFonts w:ascii="Times New Roman" w:eastAsia="Times New Roman" w:hAnsi="Times New Roman" w:cs="Times New Roman"/>
            <w:color w:val="0000FF"/>
            <w:sz w:val="24"/>
            <w:szCs w:val="24"/>
            <w:u w:val="single"/>
          </w:rPr>
          <w:t>HIV knowledge and risk behaviors among drug users in three Vietnamese mountainous provinces.</w:t>
        </w:r>
      </w:hyperlink>
    </w:p>
    <w:p w14:paraId="50F69672"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18" w:history="1">
        <w:r w:rsidRPr="005665FF">
          <w:rPr>
            <w:rFonts w:ascii="Times New Roman" w:eastAsia="Times New Roman" w:hAnsi="Times New Roman" w:cs="Times New Roman"/>
            <w:color w:val="0000FF"/>
            <w:sz w:val="24"/>
            <w:szCs w:val="24"/>
            <w:u w:val="single"/>
          </w:rPr>
          <w:t>Hand Hygiene Compliance Study at a Large Central Hospital in Vietnam.</w:t>
        </w:r>
      </w:hyperlink>
    </w:p>
    <w:p w14:paraId="1EF67F8A"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19" w:history="1">
        <w:r w:rsidRPr="005665FF">
          <w:rPr>
            <w:rFonts w:ascii="Times New Roman" w:eastAsia="Times New Roman" w:hAnsi="Times New Roman" w:cs="Times New Roman"/>
            <w:color w:val="0000FF"/>
            <w:sz w:val="24"/>
            <w:szCs w:val="24"/>
            <w:u w:val="single"/>
          </w:rPr>
          <w:t>Community-based father education intervention on breastfeeding practice—Results of a quasi-experimental study.</w:t>
        </w:r>
      </w:hyperlink>
    </w:p>
    <w:p w14:paraId="718788BA"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20" w:history="1">
        <w:r w:rsidRPr="005665FF">
          <w:rPr>
            <w:rFonts w:ascii="Times New Roman" w:eastAsia="Times New Roman" w:hAnsi="Times New Roman" w:cs="Times New Roman"/>
            <w:color w:val="0000FF"/>
            <w:sz w:val="24"/>
            <w:szCs w:val="24"/>
            <w:u w:val="single"/>
          </w:rPr>
          <w:t>Decomposition of Changes in the Consumption of Macronutrients in Vietnam between 2004 and 2014.</w:t>
        </w:r>
      </w:hyperlink>
    </w:p>
    <w:p w14:paraId="77953F3A"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21" w:history="1">
        <w:r w:rsidRPr="005665FF">
          <w:rPr>
            <w:rFonts w:ascii="Times New Roman" w:eastAsia="Times New Roman" w:hAnsi="Times New Roman" w:cs="Times New Roman"/>
            <w:color w:val="0000FF"/>
            <w:sz w:val="24"/>
            <w:szCs w:val="24"/>
            <w:u w:val="single"/>
          </w:rPr>
          <w:t>Malnutrition among 6–59-Month-Old Children at District 2 Hospital, Ho Chi Minh City, Vietnam: Prevalence and Associated Factors.</w:t>
        </w:r>
      </w:hyperlink>
    </w:p>
    <w:p w14:paraId="33A7976C"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22" w:history="1">
        <w:r w:rsidRPr="005665FF">
          <w:rPr>
            <w:rFonts w:ascii="Times New Roman" w:eastAsia="Times New Roman" w:hAnsi="Times New Roman" w:cs="Times New Roman"/>
            <w:color w:val="0000FF"/>
            <w:sz w:val="24"/>
            <w:szCs w:val="24"/>
            <w:u w:val="single"/>
          </w:rPr>
          <w:t>Stunting and academic achievement among Vietnamese children: new evidence from the young lives survey.</w:t>
        </w:r>
      </w:hyperlink>
    </w:p>
    <w:p w14:paraId="3F68CDBF"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23" w:history="1">
        <w:r w:rsidRPr="005665FF">
          <w:rPr>
            <w:rFonts w:ascii="Times New Roman" w:eastAsia="Times New Roman" w:hAnsi="Times New Roman" w:cs="Times New Roman"/>
            <w:color w:val="0000FF"/>
            <w:sz w:val="24"/>
            <w:szCs w:val="24"/>
            <w:u w:val="single"/>
          </w:rPr>
          <w:t>Stunting and Overweight among 12-24-Month-Old Children Receiving Vaccination in Ho Chi Minh City, Vietnam.</w:t>
        </w:r>
      </w:hyperlink>
    </w:p>
    <w:p w14:paraId="32A9E51D"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24" w:history="1">
        <w:r w:rsidRPr="005665FF">
          <w:rPr>
            <w:rFonts w:ascii="Times New Roman" w:eastAsia="Times New Roman" w:hAnsi="Times New Roman" w:cs="Times New Roman"/>
            <w:color w:val="0000FF"/>
            <w:sz w:val="24"/>
            <w:szCs w:val="24"/>
            <w:u w:val="single"/>
          </w:rPr>
          <w:t>Sex Differences and Psychological Factors Associated with General Health Examinations Participation: Results from a Vietnamese Cross-Section Dataset.</w:t>
        </w:r>
      </w:hyperlink>
    </w:p>
    <w:p w14:paraId="3AC76360"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25" w:history="1">
        <w:r w:rsidRPr="005665FF">
          <w:rPr>
            <w:rFonts w:ascii="Times New Roman" w:eastAsia="Times New Roman" w:hAnsi="Times New Roman" w:cs="Times New Roman"/>
            <w:color w:val="0000FF"/>
            <w:sz w:val="24"/>
            <w:szCs w:val="24"/>
            <w:u w:val="single"/>
          </w:rPr>
          <w:t xml:space="preserve">Study Design for the 2016 Baseline Survey of a Health System Strengthening Project in Quoc </w:t>
        </w:r>
        <w:proofErr w:type="spellStart"/>
        <w:r w:rsidRPr="005665FF">
          <w:rPr>
            <w:rFonts w:ascii="Times New Roman" w:eastAsia="Times New Roman" w:hAnsi="Times New Roman" w:cs="Times New Roman"/>
            <w:color w:val="0000FF"/>
            <w:sz w:val="24"/>
            <w:szCs w:val="24"/>
            <w:u w:val="single"/>
          </w:rPr>
          <w:t>Oai</w:t>
        </w:r>
        <w:proofErr w:type="spellEnd"/>
        <w:r w:rsidRPr="005665FF">
          <w:rPr>
            <w:rFonts w:ascii="Times New Roman" w:eastAsia="Times New Roman" w:hAnsi="Times New Roman" w:cs="Times New Roman"/>
            <w:color w:val="0000FF"/>
            <w:sz w:val="24"/>
            <w:szCs w:val="24"/>
            <w:u w:val="single"/>
          </w:rPr>
          <w:t xml:space="preserve"> District, Hanoi, Vietnam.</w:t>
        </w:r>
      </w:hyperlink>
    </w:p>
    <w:p w14:paraId="0E3C2B8D" w14:textId="77777777" w:rsidR="005665FF" w:rsidRPr="005665FF" w:rsidRDefault="005665FF" w:rsidP="005665F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26" w:history="1">
        <w:r w:rsidRPr="005665FF">
          <w:rPr>
            <w:rFonts w:ascii="Times New Roman" w:eastAsia="Times New Roman" w:hAnsi="Times New Roman" w:cs="Times New Roman"/>
            <w:color w:val="0000FF"/>
            <w:sz w:val="24"/>
            <w:szCs w:val="24"/>
            <w:u w:val="single"/>
          </w:rPr>
          <w:t>Artificial Intelligence vs. Natural Stupidity: Evaluating AI Readiness for the Vietnamese Medical Information System.</w:t>
        </w:r>
      </w:hyperlink>
    </w:p>
    <w:p w14:paraId="355F7340"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127" w:history="1">
        <w:r w:rsidRPr="005665FF">
          <w:rPr>
            <w:rFonts w:ascii="Times New Roman" w:eastAsia="Times New Roman" w:hAnsi="Times New Roman" w:cs="Times New Roman"/>
            <w:color w:val="0000FF"/>
            <w:sz w:val="24"/>
            <w:szCs w:val="24"/>
            <w:u w:val="single"/>
          </w:rPr>
          <w:t>ENERGY</w:t>
        </w:r>
      </w:hyperlink>
    </w:p>
    <w:p w14:paraId="29D52C7A" w14:textId="77777777" w:rsidR="005665FF" w:rsidRPr="005665FF" w:rsidRDefault="005665FF" w:rsidP="005665FF">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28" w:history="1">
        <w:r w:rsidRPr="005665FF">
          <w:rPr>
            <w:rFonts w:ascii="Times New Roman" w:eastAsia="Times New Roman" w:hAnsi="Times New Roman" w:cs="Times New Roman"/>
            <w:color w:val="0000FF"/>
            <w:sz w:val="24"/>
            <w:szCs w:val="24"/>
            <w:u w:val="single"/>
          </w:rPr>
          <w:t>Vietnam – Maximizing Finance for Development in the Energy Sector.</w:t>
        </w:r>
      </w:hyperlink>
    </w:p>
    <w:p w14:paraId="72181012"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129" w:history="1">
        <w:r w:rsidRPr="005665FF">
          <w:rPr>
            <w:rFonts w:ascii="Times New Roman" w:eastAsia="Times New Roman" w:hAnsi="Times New Roman" w:cs="Times New Roman"/>
            <w:color w:val="0000FF"/>
            <w:sz w:val="24"/>
            <w:szCs w:val="24"/>
            <w:u w:val="single"/>
          </w:rPr>
          <w:t>INFRASTRUCTURE AND URBAN DEVELOPMENT</w:t>
        </w:r>
      </w:hyperlink>
    </w:p>
    <w:p w14:paraId="202D74E2" w14:textId="77777777" w:rsidR="005665FF" w:rsidRPr="005665FF" w:rsidRDefault="005665FF" w:rsidP="005665F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30" w:history="1">
        <w:r w:rsidRPr="005665FF">
          <w:rPr>
            <w:rFonts w:ascii="Times New Roman" w:eastAsia="Times New Roman" w:hAnsi="Times New Roman" w:cs="Times New Roman"/>
            <w:color w:val="0000FF"/>
            <w:sz w:val="24"/>
            <w:szCs w:val="24"/>
            <w:u w:val="single"/>
          </w:rPr>
          <w:t>Risk of Quantity Increase in Vietnamese Construction Projects.</w:t>
        </w:r>
      </w:hyperlink>
    </w:p>
    <w:p w14:paraId="0AE9BCC6" w14:textId="77777777" w:rsidR="005665FF" w:rsidRPr="005665FF" w:rsidRDefault="005665FF" w:rsidP="005665F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31" w:history="1">
        <w:r w:rsidRPr="005665FF">
          <w:rPr>
            <w:rFonts w:ascii="Times New Roman" w:eastAsia="Times New Roman" w:hAnsi="Times New Roman" w:cs="Times New Roman"/>
            <w:color w:val="0000FF"/>
            <w:sz w:val="24"/>
            <w:szCs w:val="24"/>
            <w:u w:val="single"/>
          </w:rPr>
          <w:t>Neoliberal Urbanism, Contested Cities and Housing in Asia.</w:t>
        </w:r>
      </w:hyperlink>
    </w:p>
    <w:p w14:paraId="43FBB406" w14:textId="77777777" w:rsidR="005665FF" w:rsidRPr="005665FF" w:rsidRDefault="005665FF" w:rsidP="005665F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32" w:history="1">
        <w:proofErr w:type="gramStart"/>
        <w:r w:rsidRPr="005665FF">
          <w:rPr>
            <w:rFonts w:ascii="Times New Roman" w:eastAsia="Times New Roman" w:hAnsi="Times New Roman" w:cs="Times New Roman"/>
            <w:color w:val="0000FF"/>
            <w:sz w:val="24"/>
            <w:szCs w:val="24"/>
            <w:u w:val="single"/>
          </w:rPr>
          <w:t>Vietnam :</w:t>
        </w:r>
        <w:proofErr w:type="gramEnd"/>
        <w:r w:rsidRPr="005665FF">
          <w:rPr>
            <w:rFonts w:ascii="Times New Roman" w:eastAsia="Times New Roman" w:hAnsi="Times New Roman" w:cs="Times New Roman"/>
            <w:color w:val="0000FF"/>
            <w:sz w:val="24"/>
            <w:szCs w:val="24"/>
            <w:u w:val="single"/>
          </w:rPr>
          <w:t xml:space="preserve"> Technical Assistance Report-Report on Residential Property Price Statistics Capacity Development Mission.</w:t>
        </w:r>
      </w:hyperlink>
    </w:p>
    <w:p w14:paraId="2A361795" w14:textId="77777777" w:rsidR="005665FF" w:rsidRPr="005665FF" w:rsidRDefault="005665FF" w:rsidP="005665F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33" w:history="1">
        <w:r w:rsidRPr="005665FF">
          <w:rPr>
            <w:rFonts w:ascii="Times New Roman" w:eastAsia="Times New Roman" w:hAnsi="Times New Roman" w:cs="Times New Roman"/>
            <w:color w:val="0000FF"/>
            <w:sz w:val="24"/>
            <w:szCs w:val="24"/>
            <w:u w:val="single"/>
          </w:rPr>
          <w:t>Evaluation of retrofitting responses to urban flood risk in Ho Chi Minh City using the Motivation and Ability (MOTA) framework.</w:t>
        </w:r>
      </w:hyperlink>
    </w:p>
    <w:p w14:paraId="78337AF4" w14:textId="77777777" w:rsidR="005665FF" w:rsidRPr="005665FF" w:rsidRDefault="005665FF" w:rsidP="005665F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34" w:history="1">
        <w:r w:rsidRPr="005665FF">
          <w:rPr>
            <w:rFonts w:ascii="Times New Roman" w:eastAsia="Times New Roman" w:hAnsi="Times New Roman" w:cs="Times New Roman"/>
            <w:color w:val="0000FF"/>
            <w:sz w:val="24"/>
            <w:szCs w:val="24"/>
            <w:u w:val="single"/>
          </w:rPr>
          <w:t>Megalopolitan megalomania: Ho Chi Minh City, Vietnam’s Southeastern region and the speculative growth machine.</w:t>
        </w:r>
      </w:hyperlink>
    </w:p>
    <w:p w14:paraId="6A00DBF3"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135" w:history="1">
        <w:r w:rsidRPr="005665FF">
          <w:rPr>
            <w:rFonts w:ascii="Times New Roman" w:eastAsia="Times New Roman" w:hAnsi="Times New Roman" w:cs="Times New Roman"/>
            <w:color w:val="0000FF"/>
            <w:sz w:val="24"/>
            <w:szCs w:val="24"/>
            <w:u w:val="single"/>
          </w:rPr>
          <w:t>LABOR</w:t>
        </w:r>
      </w:hyperlink>
    </w:p>
    <w:p w14:paraId="3E02D61D" w14:textId="77777777" w:rsidR="005665FF" w:rsidRPr="005665FF" w:rsidRDefault="005665FF" w:rsidP="005665FF">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36" w:history="1">
        <w:r w:rsidRPr="005665FF">
          <w:rPr>
            <w:rFonts w:ascii="Times New Roman" w:eastAsia="Times New Roman" w:hAnsi="Times New Roman" w:cs="Times New Roman"/>
            <w:color w:val="0000FF"/>
            <w:sz w:val="24"/>
            <w:szCs w:val="24"/>
            <w:u w:val="single"/>
          </w:rPr>
          <w:t>Employment Creation in Non-Agricultural Sectors.</w:t>
        </w:r>
      </w:hyperlink>
    </w:p>
    <w:p w14:paraId="0DDCF267" w14:textId="77777777" w:rsidR="005665FF" w:rsidRPr="005665FF" w:rsidRDefault="005665FF" w:rsidP="005665FF">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37" w:history="1">
        <w:r w:rsidRPr="005665FF">
          <w:rPr>
            <w:rFonts w:ascii="Times New Roman" w:eastAsia="Times New Roman" w:hAnsi="Times New Roman" w:cs="Times New Roman"/>
            <w:color w:val="0000FF"/>
            <w:sz w:val="24"/>
            <w:szCs w:val="24"/>
            <w:u w:val="single"/>
          </w:rPr>
          <w:t>Matching in Marriage Market and Labor Market [PhD thesis].</w:t>
        </w:r>
      </w:hyperlink>
    </w:p>
    <w:p w14:paraId="704C010D"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138" w:history="1">
        <w:r w:rsidRPr="005665FF">
          <w:rPr>
            <w:rFonts w:ascii="Times New Roman" w:eastAsia="Times New Roman" w:hAnsi="Times New Roman" w:cs="Times New Roman"/>
            <w:color w:val="0000FF"/>
            <w:sz w:val="24"/>
            <w:szCs w:val="24"/>
            <w:u w:val="single"/>
          </w:rPr>
          <w:t>POVERTY</w:t>
        </w:r>
      </w:hyperlink>
    </w:p>
    <w:p w14:paraId="2ED1534C" w14:textId="77777777" w:rsidR="005665FF" w:rsidRPr="005665FF" w:rsidRDefault="005665FF" w:rsidP="005665FF">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39" w:history="1">
        <w:r w:rsidRPr="005665FF">
          <w:rPr>
            <w:rFonts w:ascii="Times New Roman" w:eastAsia="Times New Roman" w:hAnsi="Times New Roman" w:cs="Times New Roman"/>
            <w:color w:val="0000FF"/>
            <w:sz w:val="24"/>
            <w:szCs w:val="24"/>
            <w:u w:val="single"/>
          </w:rPr>
          <w:t xml:space="preserve">Poverty Measurement in the Era of Food Away from </w:t>
        </w:r>
        <w:proofErr w:type="gramStart"/>
        <w:r w:rsidRPr="005665FF">
          <w:rPr>
            <w:rFonts w:ascii="Times New Roman" w:eastAsia="Times New Roman" w:hAnsi="Times New Roman" w:cs="Times New Roman"/>
            <w:color w:val="0000FF"/>
            <w:sz w:val="24"/>
            <w:szCs w:val="24"/>
            <w:u w:val="single"/>
          </w:rPr>
          <w:t>Home :</w:t>
        </w:r>
        <w:proofErr w:type="gramEnd"/>
        <w:r w:rsidRPr="005665FF">
          <w:rPr>
            <w:rFonts w:ascii="Times New Roman" w:eastAsia="Times New Roman" w:hAnsi="Times New Roman" w:cs="Times New Roman"/>
            <w:color w:val="0000FF"/>
            <w:sz w:val="24"/>
            <w:szCs w:val="24"/>
            <w:u w:val="single"/>
          </w:rPr>
          <w:t xml:space="preserve"> Testing Alternative Approaches in Vietnam.</w:t>
        </w:r>
      </w:hyperlink>
    </w:p>
    <w:p w14:paraId="2F7562F3"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140" w:history="1">
        <w:r w:rsidRPr="005665FF">
          <w:rPr>
            <w:rFonts w:ascii="Times New Roman" w:eastAsia="Times New Roman" w:hAnsi="Times New Roman" w:cs="Times New Roman"/>
            <w:color w:val="0000FF"/>
            <w:sz w:val="24"/>
            <w:szCs w:val="24"/>
            <w:u w:val="single"/>
          </w:rPr>
          <w:t>SOCIAL DEVELOPMENT</w:t>
        </w:r>
      </w:hyperlink>
    </w:p>
    <w:p w14:paraId="4561E409" w14:textId="77777777" w:rsidR="005665FF" w:rsidRPr="005665FF" w:rsidRDefault="005665FF" w:rsidP="005665FF">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41" w:history="1">
        <w:r w:rsidRPr="005665FF">
          <w:rPr>
            <w:rFonts w:ascii="Times New Roman" w:eastAsia="Times New Roman" w:hAnsi="Times New Roman" w:cs="Times New Roman"/>
            <w:color w:val="0000FF"/>
            <w:sz w:val="24"/>
            <w:szCs w:val="24"/>
            <w:u w:val="single"/>
          </w:rPr>
          <w:t>Online peer influences are associated with receptiveness of youths: The case of Shisha in Vietnam.</w:t>
        </w:r>
      </w:hyperlink>
    </w:p>
    <w:p w14:paraId="57760C5A" w14:textId="77777777" w:rsidR="005665FF" w:rsidRPr="005665FF" w:rsidRDefault="005665FF" w:rsidP="005665FF">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42" w:history="1">
        <w:r w:rsidRPr="005665FF">
          <w:rPr>
            <w:rFonts w:ascii="Times New Roman" w:eastAsia="Times New Roman" w:hAnsi="Times New Roman" w:cs="Times New Roman"/>
            <w:color w:val="0000FF"/>
            <w:sz w:val="24"/>
            <w:szCs w:val="24"/>
            <w:u w:val="single"/>
          </w:rPr>
          <w:t>Elderly's Thought About Nursing Homes: A Case Study of Vietnamese Elderly.</w:t>
        </w:r>
      </w:hyperlink>
    </w:p>
    <w:p w14:paraId="66C4C5CA" w14:textId="77777777" w:rsidR="005665FF" w:rsidRPr="005665FF" w:rsidRDefault="005665FF" w:rsidP="005665FF">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43" w:history="1">
        <w:r w:rsidRPr="005665FF">
          <w:rPr>
            <w:rFonts w:ascii="Times New Roman" w:eastAsia="Times New Roman" w:hAnsi="Times New Roman" w:cs="Times New Roman"/>
            <w:color w:val="0000FF"/>
            <w:sz w:val="24"/>
            <w:szCs w:val="24"/>
            <w:u w:val="single"/>
          </w:rPr>
          <w:t>Agent-based Modeling of Inter-provincial Migration in the Mekong Delta, Vietnam: A Data Analytics Approach.</w:t>
        </w:r>
      </w:hyperlink>
    </w:p>
    <w:p w14:paraId="25E4C235" w14:textId="77777777" w:rsidR="005665FF" w:rsidRPr="005665FF" w:rsidRDefault="005665FF" w:rsidP="005665FF">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44" w:history="1">
        <w:r w:rsidRPr="005665FF">
          <w:rPr>
            <w:rFonts w:ascii="Times New Roman" w:eastAsia="Times New Roman" w:hAnsi="Times New Roman" w:cs="Times New Roman"/>
            <w:color w:val="0000FF"/>
            <w:sz w:val="24"/>
            <w:szCs w:val="24"/>
            <w:u w:val="single"/>
          </w:rPr>
          <w:t>Who is an internal migrant?</w:t>
        </w:r>
      </w:hyperlink>
    </w:p>
    <w:p w14:paraId="53FB2D57" w14:textId="77777777" w:rsidR="005665FF" w:rsidRPr="005665FF" w:rsidRDefault="005665FF" w:rsidP="005665FF">
      <w:pPr>
        <w:spacing w:before="100" w:beforeAutospacing="1" w:after="100" w:afterAutospacing="1" w:line="240" w:lineRule="auto"/>
        <w:rPr>
          <w:rFonts w:ascii="Times New Roman" w:eastAsia="Times New Roman" w:hAnsi="Times New Roman" w:cs="Times New Roman"/>
          <w:sz w:val="24"/>
          <w:szCs w:val="24"/>
        </w:rPr>
      </w:pPr>
      <w:hyperlink w:anchor="m_8873885906141426999__Toc2349145" w:history="1">
        <w:r w:rsidRPr="005665FF">
          <w:rPr>
            <w:rFonts w:ascii="Times New Roman" w:eastAsia="Times New Roman" w:hAnsi="Times New Roman" w:cs="Times New Roman"/>
            <w:color w:val="0000FF"/>
            <w:sz w:val="24"/>
            <w:szCs w:val="24"/>
            <w:u w:val="single"/>
          </w:rPr>
          <w:t>WATER</w:t>
        </w:r>
      </w:hyperlink>
    </w:p>
    <w:p w14:paraId="66074463" w14:textId="77777777" w:rsidR="005665FF" w:rsidRPr="005665FF" w:rsidRDefault="005665FF" w:rsidP="005665F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46" w:history="1">
        <w:r w:rsidRPr="005665FF">
          <w:rPr>
            <w:rFonts w:ascii="Times New Roman" w:eastAsia="Times New Roman" w:hAnsi="Times New Roman" w:cs="Times New Roman"/>
            <w:color w:val="0000FF"/>
            <w:sz w:val="24"/>
            <w:szCs w:val="24"/>
            <w:u w:val="single"/>
          </w:rPr>
          <w:t>Exploring gender dimensions of water insecurity and governance in the Lower Mekong Region.</w:t>
        </w:r>
      </w:hyperlink>
    </w:p>
    <w:p w14:paraId="3FD76561" w14:textId="77777777" w:rsidR="005665FF" w:rsidRPr="005665FF" w:rsidRDefault="005665FF" w:rsidP="005665F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47" w:history="1">
        <w:r w:rsidRPr="005665FF">
          <w:rPr>
            <w:rFonts w:ascii="Times New Roman" w:eastAsia="Times New Roman" w:hAnsi="Times New Roman" w:cs="Times New Roman"/>
            <w:color w:val="0000FF"/>
            <w:sz w:val="24"/>
            <w:szCs w:val="24"/>
            <w:u w:val="single"/>
          </w:rPr>
          <w:t>Chapter 10 - Addressing the Arsenic Issue in the Lower Mekong Region: The Challenges and Systematic Approaches.</w:t>
        </w:r>
      </w:hyperlink>
    </w:p>
    <w:p w14:paraId="455904CB" w14:textId="77777777" w:rsidR="005665FF" w:rsidRPr="005665FF" w:rsidRDefault="005665FF" w:rsidP="005665F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48" w:history="1">
        <w:r w:rsidRPr="005665FF">
          <w:rPr>
            <w:rFonts w:ascii="Times New Roman" w:eastAsia="Times New Roman" w:hAnsi="Times New Roman" w:cs="Times New Roman"/>
            <w:color w:val="0000FF"/>
            <w:sz w:val="24"/>
            <w:szCs w:val="24"/>
            <w:u w:val="single"/>
          </w:rPr>
          <w:t>Damming the Mekong: Impacts in Vietnam and Solutions.</w:t>
        </w:r>
      </w:hyperlink>
    </w:p>
    <w:p w14:paraId="0319AF53" w14:textId="77777777" w:rsidR="005665FF" w:rsidRPr="005665FF" w:rsidRDefault="005665FF" w:rsidP="005665F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49" w:history="1">
        <w:r w:rsidRPr="005665FF">
          <w:rPr>
            <w:rFonts w:ascii="Times New Roman" w:eastAsia="Times New Roman" w:hAnsi="Times New Roman" w:cs="Times New Roman"/>
            <w:color w:val="0000FF"/>
            <w:sz w:val="24"/>
            <w:szCs w:val="24"/>
            <w:u w:val="single"/>
          </w:rPr>
          <w:t>Institutional Frameworks for Development and Management of the Mekong River’s Water Resources.</w:t>
        </w:r>
      </w:hyperlink>
    </w:p>
    <w:p w14:paraId="0B67B2E3" w14:textId="77777777" w:rsidR="005665FF" w:rsidRPr="005665FF" w:rsidRDefault="005665FF" w:rsidP="005665F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50" w:history="1">
        <w:r w:rsidRPr="005665FF">
          <w:rPr>
            <w:rFonts w:ascii="Times New Roman" w:eastAsia="Times New Roman" w:hAnsi="Times New Roman" w:cs="Times New Roman"/>
            <w:color w:val="0000FF"/>
            <w:sz w:val="24"/>
            <w:szCs w:val="24"/>
            <w:u w:val="single"/>
          </w:rPr>
          <w:t>Optimizing Dam Management in the Mekong River Basin to Minimize Environmental Impacts.</w:t>
        </w:r>
      </w:hyperlink>
    </w:p>
    <w:p w14:paraId="244656A1" w14:textId="77777777" w:rsidR="005665FF" w:rsidRPr="005665FF" w:rsidRDefault="005665FF" w:rsidP="005665F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51" w:history="1">
        <w:r w:rsidRPr="005665FF">
          <w:rPr>
            <w:rFonts w:ascii="Times New Roman" w:eastAsia="Times New Roman" w:hAnsi="Times New Roman" w:cs="Times New Roman"/>
            <w:color w:val="0000FF"/>
            <w:sz w:val="24"/>
            <w:szCs w:val="24"/>
            <w:u w:val="single"/>
          </w:rPr>
          <w:t>The Water Governance Reform Framework: Overview and Applications to Australia, Mexico, Tanzania, U.S.A and Vietnam.</w:t>
        </w:r>
      </w:hyperlink>
    </w:p>
    <w:p w14:paraId="397636BF" w14:textId="77777777" w:rsidR="005665FF" w:rsidRPr="005665FF" w:rsidRDefault="005665FF" w:rsidP="005665FF">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8873885906141426999__Toc2349152" w:history="1">
        <w:r w:rsidRPr="005665FF">
          <w:rPr>
            <w:rFonts w:ascii="Times New Roman" w:eastAsia="Times New Roman" w:hAnsi="Times New Roman" w:cs="Times New Roman"/>
            <w:color w:val="0000FF"/>
            <w:sz w:val="24"/>
            <w:szCs w:val="24"/>
            <w:u w:val="single"/>
          </w:rPr>
          <w:t xml:space="preserve">Gender in Development Discourses of Civil Society </w:t>
        </w:r>
        <w:proofErr w:type="spellStart"/>
        <w:r w:rsidRPr="005665FF">
          <w:rPr>
            <w:rFonts w:ascii="Times New Roman" w:eastAsia="Times New Roman" w:hAnsi="Times New Roman" w:cs="Times New Roman"/>
            <w:color w:val="0000FF"/>
            <w:sz w:val="24"/>
            <w:szCs w:val="24"/>
            <w:u w:val="single"/>
          </w:rPr>
          <w:t>Organisations</w:t>
        </w:r>
        <w:proofErr w:type="spellEnd"/>
        <w:r w:rsidRPr="005665FF">
          <w:rPr>
            <w:rFonts w:ascii="Times New Roman" w:eastAsia="Times New Roman" w:hAnsi="Times New Roman" w:cs="Times New Roman"/>
            <w:color w:val="0000FF"/>
            <w:sz w:val="24"/>
            <w:szCs w:val="24"/>
            <w:u w:val="single"/>
          </w:rPr>
          <w:t xml:space="preserve"> and Mekong Hydropower Dams.</w:t>
        </w:r>
      </w:hyperlink>
    </w:p>
    <w:p w14:paraId="3FCC264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5E5CED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b/>
          <w:bCs/>
          <w:color w:val="FF0000"/>
          <w:sz w:val="20"/>
          <w:szCs w:val="20"/>
        </w:rPr>
        <w:t> </w:t>
      </w:r>
    </w:p>
    <w:p w14:paraId="2C3C951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b/>
          <w:bCs/>
          <w:color w:val="FF0000"/>
          <w:sz w:val="20"/>
          <w:szCs w:val="20"/>
        </w:rPr>
        <w:t> </w:t>
      </w:r>
    </w:p>
    <w:p w14:paraId="2B2FCF9F"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 w:name="m_8873885906141426999__Toc2349009"/>
      <w:r w:rsidRPr="005665FF">
        <w:rPr>
          <w:rFonts w:ascii="Arial" w:eastAsia="Times New Roman" w:hAnsi="Arial" w:cs="Arial"/>
          <w:b/>
          <w:bCs/>
          <w:color w:val="FFFFFF"/>
          <w:kern w:val="36"/>
          <w:sz w:val="48"/>
          <w:szCs w:val="48"/>
        </w:rPr>
        <w:t>AGRICULTURE AND RURAL DEVELOPMENT</w:t>
      </w:r>
      <w:bookmarkEnd w:id="1"/>
    </w:p>
    <w:p w14:paraId="643CD8C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D565312"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2" w:name="m_8873885906141426999__Hlk507510159"/>
      <w:bookmarkStart w:id="3" w:name="m_8873885906141426999__Hlk532224241"/>
      <w:bookmarkStart w:id="4" w:name="m_8873885906141426999__Hlk511750468"/>
      <w:bookmarkStart w:id="5" w:name="m_8873885906141426999__Toc2349010"/>
      <w:bookmarkEnd w:id="2"/>
      <w:bookmarkEnd w:id="3"/>
      <w:bookmarkEnd w:id="4"/>
      <w:r w:rsidRPr="005665FF">
        <w:rPr>
          <w:rFonts w:ascii="Calibri" w:eastAsia="Times New Roman" w:hAnsi="Calibri" w:cs="Calibri"/>
          <w:b/>
          <w:bCs/>
          <w:color w:val="800000"/>
        </w:rPr>
        <w:t xml:space="preserve">Assessment of Impacts of Climate Change on Agriculture and Fisheries in the Coastal Areas of </w:t>
      </w:r>
      <w:proofErr w:type="spellStart"/>
      <w:r w:rsidRPr="005665FF">
        <w:rPr>
          <w:rFonts w:ascii="Calibri" w:eastAsia="Times New Roman" w:hAnsi="Calibri" w:cs="Calibri"/>
          <w:b/>
          <w:bCs/>
          <w:color w:val="800000"/>
        </w:rPr>
        <w:t>Thua</w:t>
      </w:r>
      <w:proofErr w:type="spellEnd"/>
      <w:r w:rsidRPr="005665FF">
        <w:rPr>
          <w:rFonts w:ascii="Calibri" w:eastAsia="Times New Roman" w:hAnsi="Calibri" w:cs="Calibri"/>
          <w:b/>
          <w:bCs/>
          <w:color w:val="800000"/>
        </w:rPr>
        <w:t xml:space="preserve"> </w:t>
      </w:r>
      <w:proofErr w:type="spellStart"/>
      <w:r w:rsidRPr="005665FF">
        <w:rPr>
          <w:rFonts w:ascii="Calibri" w:eastAsia="Times New Roman" w:hAnsi="Calibri" w:cs="Calibri"/>
          <w:b/>
          <w:bCs/>
          <w:color w:val="800000"/>
        </w:rPr>
        <w:t>Thien</w:t>
      </w:r>
      <w:proofErr w:type="spellEnd"/>
      <w:r w:rsidRPr="005665FF">
        <w:rPr>
          <w:rFonts w:ascii="Calibri" w:eastAsia="Times New Roman" w:hAnsi="Calibri" w:cs="Calibri"/>
          <w:b/>
          <w:bCs/>
          <w:color w:val="800000"/>
        </w:rPr>
        <w:t xml:space="preserve"> Hue Province, Vietnam.</w:t>
      </w:r>
      <w:bookmarkEnd w:id="5"/>
    </w:p>
    <w:p w14:paraId="43BD932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Mac </w:t>
      </w:r>
      <w:proofErr w:type="spellStart"/>
      <w:r w:rsidRPr="005665FF">
        <w:rPr>
          <w:rFonts w:ascii="Arial" w:eastAsia="Times New Roman" w:hAnsi="Arial" w:cs="Arial"/>
          <w:color w:val="000000"/>
          <w:sz w:val="24"/>
          <w:szCs w:val="24"/>
        </w:rPr>
        <w:t>Nhu</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Binh</w:t>
      </w:r>
      <w:proofErr w:type="spellEnd"/>
      <w:r w:rsidRPr="005665FF">
        <w:rPr>
          <w:rFonts w:ascii="Arial" w:eastAsia="Times New Roman" w:hAnsi="Arial" w:cs="Arial"/>
          <w:color w:val="000000"/>
          <w:sz w:val="24"/>
          <w:szCs w:val="24"/>
        </w:rPr>
        <w:t xml:space="preserve">, Le Duc </w:t>
      </w:r>
      <w:proofErr w:type="spellStart"/>
      <w:r w:rsidRPr="005665FF">
        <w:rPr>
          <w:rFonts w:ascii="Arial" w:eastAsia="Times New Roman" w:hAnsi="Arial" w:cs="Arial"/>
          <w:color w:val="000000"/>
          <w:sz w:val="24"/>
          <w:szCs w:val="24"/>
        </w:rPr>
        <w:t>Ngoan</w:t>
      </w:r>
      <w:proofErr w:type="spellEnd"/>
      <w:r w:rsidRPr="005665FF">
        <w:rPr>
          <w:rFonts w:ascii="Arial" w:eastAsia="Times New Roman" w:hAnsi="Arial" w:cs="Arial"/>
          <w:color w:val="000000"/>
          <w:sz w:val="24"/>
          <w:szCs w:val="24"/>
        </w:rPr>
        <w:t xml:space="preserve">, Le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Sen, Nguyen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Thanh Thuy, Jennifer Bond and others. Agriculture and Development Notes, 2018, volume 8, number 4.</w:t>
      </w:r>
    </w:p>
    <w:p w14:paraId="5AC3598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Free full text </w:t>
      </w:r>
      <w:hyperlink r:id="rId5" w:tgtFrame="_blank" w:history="1">
        <w:r w:rsidRPr="005665FF">
          <w:rPr>
            <w:rFonts w:ascii="Arial" w:eastAsia="Times New Roman" w:hAnsi="Arial" w:cs="Arial"/>
            <w:color w:val="1155CC"/>
            <w:sz w:val="24"/>
            <w:szCs w:val="24"/>
            <w:u w:val="single"/>
          </w:rPr>
          <w:t>http://www.searca.org/knowledge-resources/1603-pre-download?pid=413</w:t>
        </w:r>
      </w:hyperlink>
      <w:r w:rsidRPr="005665FF">
        <w:rPr>
          <w:rFonts w:ascii="Arial" w:eastAsia="Times New Roman" w:hAnsi="Arial" w:cs="Arial"/>
          <w:color w:val="000000"/>
          <w:sz w:val="24"/>
          <w:szCs w:val="24"/>
        </w:rPr>
        <w:t>.</w:t>
      </w:r>
    </w:p>
    <w:p w14:paraId="134E240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7C9CD4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Vietnam is one of the five countries predicted to be the most affected by climate change due to its long coastlines; high concentration of population and economic activity in coastal areas; and heavy reliance on agriculture, natural resources, and forestry (Word Bank 2011). Located in Central Vietnam, </w:t>
      </w:r>
      <w:proofErr w:type="spellStart"/>
      <w:r w:rsidRPr="005665FF">
        <w:rPr>
          <w:rFonts w:ascii="Arial" w:eastAsia="Times New Roman" w:hAnsi="Arial" w:cs="Arial"/>
          <w:color w:val="000000"/>
          <w:sz w:val="24"/>
          <w:szCs w:val="24"/>
        </w:rPr>
        <w:t>Thua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Thien</w:t>
      </w:r>
      <w:proofErr w:type="spellEnd"/>
      <w:r w:rsidRPr="005665FF">
        <w:rPr>
          <w:rFonts w:ascii="Arial" w:eastAsia="Times New Roman" w:hAnsi="Arial" w:cs="Arial"/>
          <w:color w:val="000000"/>
          <w:sz w:val="24"/>
          <w:szCs w:val="24"/>
        </w:rPr>
        <w:t xml:space="preserve"> Hue’s agricultural and fisheries sectors have always been negatively affected by climate change. Recognizing the problem, in recent years, </w:t>
      </w:r>
      <w:proofErr w:type="spellStart"/>
      <w:r w:rsidRPr="005665FF">
        <w:rPr>
          <w:rFonts w:ascii="Arial" w:eastAsia="Times New Roman" w:hAnsi="Arial" w:cs="Arial"/>
          <w:color w:val="000000"/>
          <w:sz w:val="24"/>
          <w:szCs w:val="24"/>
        </w:rPr>
        <w:t>Thua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Thien</w:t>
      </w:r>
      <w:proofErr w:type="spellEnd"/>
      <w:r w:rsidRPr="005665FF">
        <w:rPr>
          <w:rFonts w:ascii="Arial" w:eastAsia="Times New Roman" w:hAnsi="Arial" w:cs="Arial"/>
          <w:color w:val="000000"/>
          <w:sz w:val="24"/>
          <w:szCs w:val="24"/>
        </w:rPr>
        <w:t xml:space="preserve"> Hue province has developed many policies and action strategies to mitigate the impacts of climate change. </w:t>
      </w:r>
      <w:proofErr w:type="spellStart"/>
      <w:r w:rsidRPr="005665FF">
        <w:rPr>
          <w:rFonts w:ascii="Arial" w:eastAsia="Times New Roman" w:hAnsi="Arial" w:cs="Arial"/>
          <w:color w:val="000000"/>
          <w:sz w:val="24"/>
          <w:szCs w:val="24"/>
        </w:rPr>
        <w:t>Thua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Thien</w:t>
      </w:r>
      <w:proofErr w:type="spellEnd"/>
      <w:r w:rsidRPr="005665FF">
        <w:rPr>
          <w:rFonts w:ascii="Arial" w:eastAsia="Times New Roman" w:hAnsi="Arial" w:cs="Arial"/>
          <w:color w:val="000000"/>
          <w:sz w:val="24"/>
          <w:szCs w:val="24"/>
        </w:rPr>
        <w:t xml:space="preserve"> Hue Provincial People’s Community assigned the responsibility to the Department of Agricultural and Rural Development (DARD) and the Department of Natural Resource and Environment to carry out the Provincial Target Program on climate change. Sadly, the program implementation has been said to primarily focus on building response capacity, such as having annual evacuation plans, training people in disaster drills, and providing weather data to local authorities; lacking a long-term planning perspective (Mendoza 2014).</w:t>
      </w:r>
    </w:p>
    <w:p w14:paraId="53D6073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4DFE009"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6" w:name="m_8873885906141426999__Toc2349011"/>
      <w:r w:rsidRPr="005665FF">
        <w:rPr>
          <w:rFonts w:ascii="Calibri" w:eastAsia="Times New Roman" w:hAnsi="Calibri" w:cs="Calibri"/>
          <w:b/>
          <w:bCs/>
          <w:color w:val="800000"/>
        </w:rPr>
        <w:t xml:space="preserve">Enhancing the marketing capacity of agricultural cooperatives in </w:t>
      </w:r>
      <w:proofErr w:type="spellStart"/>
      <w:r w:rsidRPr="005665FF">
        <w:rPr>
          <w:rFonts w:ascii="Calibri" w:eastAsia="Times New Roman" w:hAnsi="Calibri" w:cs="Calibri"/>
          <w:b/>
          <w:bCs/>
          <w:color w:val="800000"/>
        </w:rPr>
        <w:t>Hoa</w:t>
      </w:r>
      <w:proofErr w:type="spellEnd"/>
      <w:r w:rsidRPr="005665FF">
        <w:rPr>
          <w:rFonts w:ascii="Calibri" w:eastAsia="Times New Roman" w:hAnsi="Calibri" w:cs="Calibri"/>
          <w:b/>
          <w:bCs/>
          <w:color w:val="800000"/>
        </w:rPr>
        <w:t xml:space="preserve"> </w:t>
      </w:r>
      <w:proofErr w:type="spellStart"/>
      <w:r w:rsidRPr="005665FF">
        <w:rPr>
          <w:rFonts w:ascii="Calibri" w:eastAsia="Times New Roman" w:hAnsi="Calibri" w:cs="Calibri"/>
          <w:b/>
          <w:bCs/>
          <w:color w:val="800000"/>
        </w:rPr>
        <w:t>Vang</w:t>
      </w:r>
      <w:proofErr w:type="spellEnd"/>
      <w:r w:rsidRPr="005665FF">
        <w:rPr>
          <w:rFonts w:ascii="Calibri" w:eastAsia="Times New Roman" w:hAnsi="Calibri" w:cs="Calibri"/>
          <w:b/>
          <w:bCs/>
          <w:color w:val="800000"/>
        </w:rPr>
        <w:t xml:space="preserve"> District, Da Nang City, Vietnam.</w:t>
      </w:r>
      <w:bookmarkEnd w:id="6"/>
    </w:p>
    <w:p w14:paraId="2BA29A4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lang w:val="fr-FR"/>
        </w:rPr>
        <w:t>Quach</w:t>
      </w:r>
      <w:proofErr w:type="spellEnd"/>
      <w:r w:rsidRPr="005665FF">
        <w:rPr>
          <w:rFonts w:ascii="Arial" w:eastAsia="Times New Roman" w:hAnsi="Arial" w:cs="Arial"/>
          <w:color w:val="000000"/>
          <w:sz w:val="24"/>
          <w:szCs w:val="24"/>
          <w:lang w:val="fr-FR"/>
        </w:rPr>
        <w:t xml:space="preserve"> Xuan, Du Tien, Pham Lien and Ho Hai. </w:t>
      </w:r>
      <w:r w:rsidRPr="005665FF">
        <w:rPr>
          <w:rFonts w:ascii="Arial" w:eastAsia="Times New Roman" w:hAnsi="Arial" w:cs="Arial"/>
          <w:color w:val="000000"/>
          <w:sz w:val="24"/>
          <w:szCs w:val="24"/>
        </w:rPr>
        <w:t>Discussion Paper Series - Southeast Asian Regional Center for Graduate Study and Research in Agriculture (SEARCA), 2018, number No.2018-3, p. 48 pp.</w:t>
      </w:r>
    </w:p>
    <w:p w14:paraId="18065E6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6" w:tgtFrame="_blank" w:history="1">
        <w:r w:rsidRPr="005665FF">
          <w:rPr>
            <w:rFonts w:ascii="Arial" w:eastAsia="Times New Roman" w:hAnsi="Arial" w:cs="Arial"/>
            <w:color w:val="1155CC"/>
            <w:sz w:val="24"/>
            <w:szCs w:val="24"/>
            <w:u w:val="single"/>
          </w:rPr>
          <w:t>https://www.cabdirect.org/cabdirect/abstract/20193054729</w:t>
        </w:r>
      </w:hyperlink>
      <w:r w:rsidRPr="005665FF">
        <w:rPr>
          <w:rFonts w:ascii="Arial" w:eastAsia="Times New Roman" w:hAnsi="Arial" w:cs="Arial"/>
          <w:color w:val="000000"/>
          <w:sz w:val="24"/>
          <w:szCs w:val="24"/>
        </w:rPr>
        <w:t>.</w:t>
      </w:r>
    </w:p>
    <w:p w14:paraId="47616F5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FFA0E9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Traditionally, agricultural cooperatives in developing countries focus their support solely on agricultural production, often overlooking marketing and trading activities. In many cases, this results in a mismatch between supply and demand and increases the risk of bankruptcy among cooperatives. This is true for many cooperatives in Vietnam, including those from the rural district of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Vang</w:t>
      </w:r>
      <w:proofErr w:type="spellEnd"/>
      <w:r w:rsidRPr="005665FF">
        <w:rPr>
          <w:rFonts w:ascii="Arial" w:eastAsia="Times New Roman" w:hAnsi="Arial" w:cs="Arial"/>
          <w:color w:val="000000"/>
          <w:sz w:val="24"/>
          <w:szCs w:val="24"/>
        </w:rPr>
        <w:t xml:space="preserve"> in Da Nang City. At present, there are 43 agricultural cooperatives in Da Nang, 18 of which are located in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Vang</w:t>
      </w:r>
      <w:proofErr w:type="spellEnd"/>
      <w:r w:rsidRPr="005665FF">
        <w:rPr>
          <w:rFonts w:ascii="Arial" w:eastAsia="Times New Roman" w:hAnsi="Arial" w:cs="Arial"/>
          <w:color w:val="000000"/>
          <w:sz w:val="24"/>
          <w:szCs w:val="24"/>
        </w:rPr>
        <w:t xml:space="preserve">. Their products include rice, vegetables like cucumber, fruits, mushroom, meat, fishes, eggs, sesame, and ornamentals like flowers and bonsai plants. Like many others, these cooperatives do not provide support to its farmer members for trading their produce. Farmers, thus, have to rely on their own limited capacity to sell their products, usually in the local markets or restaurants. This significantly affects their productivity, as farmers do not feel confident about increasing production. It also affects the cooperatives' branding because consumers cannot distinguish between local and sustainably produced or clean agricultural products from others. Therefore, it is important to build the capacities of cooperatives and its farmer members in terms of </w:t>
      </w:r>
      <w:r w:rsidRPr="005665FF">
        <w:rPr>
          <w:rFonts w:ascii="Arial" w:eastAsia="Times New Roman" w:hAnsi="Arial" w:cs="Arial"/>
          <w:color w:val="000000"/>
          <w:sz w:val="24"/>
          <w:szCs w:val="24"/>
        </w:rPr>
        <w:lastRenderedPageBreak/>
        <w:t xml:space="preserve">marketing and trading their agricultural products. It is in this context that the project titled "Enhancing the Marketing Capacity of Agricultural Cooperatives in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Vang</w:t>
      </w:r>
      <w:proofErr w:type="spellEnd"/>
      <w:r w:rsidRPr="005665FF">
        <w:rPr>
          <w:rFonts w:ascii="Arial" w:eastAsia="Times New Roman" w:hAnsi="Arial" w:cs="Arial"/>
          <w:color w:val="000000"/>
          <w:sz w:val="24"/>
          <w:szCs w:val="24"/>
        </w:rPr>
        <w:t xml:space="preserve"> District, Da Nang City of Vietnam" was proposed. The project aimed to increase the income of farmers and ensure food safety for local residents and tourists in Da Nang through the sustainable supply of "clean" agricultural products. Clean products, in the context of this project, pertains to the produce from farmers who practice Good Agricultural Practices (GAP) and do not apply chemical fertilizers or pest control. The outcomes of this project were envisioned to solve not just the current difficulties of cooperatives in </w:t>
      </w:r>
      <w:proofErr w:type="spellStart"/>
      <w:r w:rsidRPr="005665FF">
        <w:rPr>
          <w:rFonts w:ascii="Arial" w:eastAsia="Times New Roman" w:hAnsi="Arial" w:cs="Arial"/>
          <w:color w:val="000000"/>
          <w:sz w:val="24"/>
          <w:szCs w:val="24"/>
        </w:rPr>
        <w:t>HoaVang</w:t>
      </w:r>
      <w:proofErr w:type="spellEnd"/>
      <w:r w:rsidRPr="005665FF">
        <w:rPr>
          <w:rFonts w:ascii="Arial" w:eastAsia="Times New Roman" w:hAnsi="Arial" w:cs="Arial"/>
          <w:color w:val="000000"/>
          <w:sz w:val="24"/>
          <w:szCs w:val="24"/>
        </w:rPr>
        <w:t>, but also for agricultural cooperatives elsewhere.</w:t>
      </w:r>
    </w:p>
    <w:p w14:paraId="370F6FF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647CD05" w14:textId="57441F91" w:rsidR="005665FF" w:rsidRPr="005665FF" w:rsidRDefault="005665FF" w:rsidP="005665FF">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5665FF">
        <w:rPr>
          <w:rStyle w:val="Hyperlink"/>
          <w:rFonts w:ascii="Arial" w:eastAsia="Times New Roman" w:hAnsi="Arial" w:cs="Arial"/>
          <w:sz w:val="24"/>
          <w:szCs w:val="24"/>
        </w:rPr>
        <w:t>Back to top</w:t>
      </w:r>
    </w:p>
    <w:p w14:paraId="6B9114AD" w14:textId="3D3FB2F9" w:rsidR="005665FF" w:rsidRPr="005665FF" w:rsidRDefault="005665FF" w:rsidP="005665FF">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5665FF">
        <w:rPr>
          <w:rFonts w:ascii="Arial" w:eastAsia="Times New Roman" w:hAnsi="Arial" w:cs="Arial"/>
          <w:color w:val="000000"/>
          <w:sz w:val="24"/>
          <w:szCs w:val="24"/>
        </w:rPr>
        <w:t> </w:t>
      </w:r>
    </w:p>
    <w:p w14:paraId="37D32536"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7" w:name="m_8873885906141426999__Toc2349012"/>
      <w:r w:rsidRPr="005665FF">
        <w:rPr>
          <w:rFonts w:ascii="Calibri" w:eastAsia="Times New Roman" w:hAnsi="Calibri" w:cs="Calibri"/>
          <w:b/>
          <w:bCs/>
          <w:color w:val="800000"/>
        </w:rPr>
        <w:t xml:space="preserve">Untapped Potential: Agricultural Social Networks as the future of Karst Science Communication in </w:t>
      </w:r>
      <w:proofErr w:type="spellStart"/>
      <w:r w:rsidRPr="005665FF">
        <w:rPr>
          <w:rFonts w:ascii="Calibri" w:eastAsia="Times New Roman" w:hAnsi="Calibri" w:cs="Calibri"/>
          <w:b/>
          <w:bCs/>
          <w:color w:val="800000"/>
        </w:rPr>
        <w:t>Phong</w:t>
      </w:r>
      <w:proofErr w:type="spellEnd"/>
      <w:r w:rsidRPr="005665FF">
        <w:rPr>
          <w:rFonts w:ascii="Calibri" w:eastAsia="Times New Roman" w:hAnsi="Calibri" w:cs="Calibri"/>
          <w:b/>
          <w:bCs/>
          <w:color w:val="800000"/>
        </w:rPr>
        <w:t xml:space="preserve"> </w:t>
      </w:r>
      <w:proofErr w:type="spellStart"/>
      <w:r w:rsidRPr="005665FF">
        <w:rPr>
          <w:rFonts w:ascii="Calibri" w:eastAsia="Times New Roman" w:hAnsi="Calibri" w:cs="Calibri"/>
          <w:b/>
          <w:bCs/>
          <w:color w:val="800000"/>
        </w:rPr>
        <w:t>Nha-Ke</w:t>
      </w:r>
      <w:proofErr w:type="spellEnd"/>
      <w:r w:rsidRPr="005665FF">
        <w:rPr>
          <w:rFonts w:ascii="Calibri" w:eastAsia="Times New Roman" w:hAnsi="Calibri" w:cs="Calibri"/>
          <w:b/>
          <w:bCs/>
          <w:color w:val="800000"/>
        </w:rPr>
        <w:t xml:space="preserve"> Bang National Park, Vietnam.</w:t>
      </w:r>
      <w:bookmarkEnd w:id="7"/>
    </w:p>
    <w:p w14:paraId="3A4765E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Elizabeth J </w:t>
      </w:r>
      <w:proofErr w:type="spellStart"/>
      <w:r w:rsidRPr="005665FF">
        <w:rPr>
          <w:rFonts w:ascii="Arial" w:eastAsia="Times New Roman" w:hAnsi="Arial" w:cs="Arial"/>
          <w:color w:val="000000"/>
          <w:sz w:val="24"/>
          <w:szCs w:val="24"/>
        </w:rPr>
        <w:t>Willenbrink</w:t>
      </w:r>
      <w:proofErr w:type="spellEnd"/>
      <w:r w:rsidRPr="005665FF">
        <w:rPr>
          <w:rFonts w:ascii="Arial" w:eastAsia="Times New Roman" w:hAnsi="Arial" w:cs="Arial"/>
          <w:color w:val="000000"/>
          <w:sz w:val="24"/>
          <w:szCs w:val="24"/>
        </w:rPr>
        <w:t xml:space="preserve">, Leslie A North and Vu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Minh Nguyet. Focus </w:t>
      </w:r>
      <w:proofErr w:type="gramStart"/>
      <w:r w:rsidRPr="005665FF">
        <w:rPr>
          <w:rFonts w:ascii="Arial" w:eastAsia="Times New Roman" w:hAnsi="Arial" w:cs="Arial"/>
          <w:color w:val="000000"/>
          <w:sz w:val="24"/>
          <w:szCs w:val="24"/>
        </w:rPr>
        <w:t>On</w:t>
      </w:r>
      <w:proofErr w:type="gramEnd"/>
      <w:r w:rsidRPr="005665FF">
        <w:rPr>
          <w:rFonts w:ascii="Arial" w:eastAsia="Times New Roman" w:hAnsi="Arial" w:cs="Arial"/>
          <w:color w:val="000000"/>
          <w:sz w:val="24"/>
          <w:szCs w:val="24"/>
        </w:rPr>
        <w:t xml:space="preserve"> Geography, 2018, volume 61.</w:t>
      </w:r>
    </w:p>
    <w:p w14:paraId="601D2E3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A8342B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Hang Son </w:t>
      </w:r>
      <w:proofErr w:type="spellStart"/>
      <w:r w:rsidRPr="005665FF">
        <w:rPr>
          <w:rFonts w:ascii="Arial" w:eastAsia="Times New Roman" w:hAnsi="Arial" w:cs="Arial"/>
          <w:color w:val="000000"/>
          <w:sz w:val="24"/>
          <w:szCs w:val="24"/>
        </w:rPr>
        <w:t>Doong</w:t>
      </w:r>
      <w:proofErr w:type="spellEnd"/>
      <w:r w:rsidRPr="005665FF">
        <w:rPr>
          <w:rFonts w:ascii="Arial" w:eastAsia="Times New Roman" w:hAnsi="Arial" w:cs="Arial"/>
          <w:color w:val="000000"/>
          <w:sz w:val="24"/>
          <w:szCs w:val="24"/>
        </w:rPr>
        <w:t xml:space="preserve">, the world's largest documented cave, is more than just a record-breaking karst </w:t>
      </w:r>
      <w:proofErr w:type="gramStart"/>
      <w:r w:rsidRPr="005665FF">
        <w:rPr>
          <w:rFonts w:ascii="Arial" w:eastAsia="Times New Roman" w:hAnsi="Arial" w:cs="Arial"/>
          <w:color w:val="000000"/>
          <w:sz w:val="24"/>
          <w:szCs w:val="24"/>
        </w:rPr>
        <w:t>phenomena</w:t>
      </w:r>
      <w:proofErr w:type="gramEnd"/>
      <w:r w:rsidRPr="005665FF">
        <w:rPr>
          <w:rFonts w:ascii="Arial" w:eastAsia="Times New Roman" w:hAnsi="Arial" w:cs="Arial"/>
          <w:color w:val="000000"/>
          <w:sz w:val="24"/>
          <w:szCs w:val="24"/>
        </w:rPr>
        <w:t xml:space="preserve">. For the resident's in </w:t>
      </w:r>
      <w:proofErr w:type="spellStart"/>
      <w:r w:rsidRPr="005665FF">
        <w:rPr>
          <w:rFonts w:ascii="Arial" w:eastAsia="Times New Roman" w:hAnsi="Arial" w:cs="Arial"/>
          <w:color w:val="000000"/>
          <w:sz w:val="24"/>
          <w:szCs w:val="24"/>
        </w:rPr>
        <w:t>Phong</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Nha-Ke</w:t>
      </w:r>
      <w:proofErr w:type="spellEnd"/>
      <w:r w:rsidRPr="005665FF">
        <w:rPr>
          <w:rFonts w:ascii="Arial" w:eastAsia="Times New Roman" w:hAnsi="Arial" w:cs="Arial"/>
          <w:color w:val="000000"/>
          <w:sz w:val="24"/>
          <w:szCs w:val="24"/>
        </w:rPr>
        <w:t xml:space="preserve"> Bang National Park (PN-KB), Son </w:t>
      </w:r>
      <w:proofErr w:type="spellStart"/>
      <w:r w:rsidRPr="005665FF">
        <w:rPr>
          <w:rFonts w:ascii="Arial" w:eastAsia="Times New Roman" w:hAnsi="Arial" w:cs="Arial"/>
          <w:color w:val="000000"/>
          <w:sz w:val="24"/>
          <w:szCs w:val="24"/>
        </w:rPr>
        <w:t>Doong</w:t>
      </w:r>
      <w:proofErr w:type="spellEnd"/>
      <w:r w:rsidRPr="005665FF">
        <w:rPr>
          <w:rFonts w:ascii="Arial" w:eastAsia="Times New Roman" w:hAnsi="Arial" w:cs="Arial"/>
          <w:color w:val="000000"/>
          <w:sz w:val="24"/>
          <w:szCs w:val="24"/>
        </w:rPr>
        <w:t xml:space="preserve"> and the Park's 300 other discovered caves are a representation of the beauty and uniqueness of the region's karst landscape (Figure 1). Karst landscapes are known for their unique cave systems and spectacular surface features. Formed in carbonate rock, such as limestone, karst landscapes are characterized by bedrock that is dissolved easily by water, resulting in the creation of conduits, caves, and surface features such as sinkholes and karst towers. These landscapes are also home to unique endemic cave and surface species (Ford and Williams 2007). Despite their fantastic and unique features, karst landscapes are highly vulnerable to anthropogenic degradation such as water contamination, surface erosion, and deforestation (Ford and Williams 2007; Fleury 2009). While PN-KB residents are eager to speak about the benefits of karst-centric tourism and show caves in their area, many </w:t>
      </w:r>
      <w:proofErr w:type="gramStart"/>
      <w:r w:rsidRPr="005665FF">
        <w:rPr>
          <w:rFonts w:ascii="Arial" w:eastAsia="Times New Roman" w:hAnsi="Arial" w:cs="Arial"/>
          <w:color w:val="000000"/>
          <w:sz w:val="24"/>
          <w:szCs w:val="24"/>
        </w:rPr>
        <w:t>lack</w:t>
      </w:r>
      <w:proofErr w:type="gramEnd"/>
      <w:r w:rsidRPr="005665FF">
        <w:rPr>
          <w:rFonts w:ascii="Arial" w:eastAsia="Times New Roman" w:hAnsi="Arial" w:cs="Arial"/>
          <w:color w:val="000000"/>
          <w:sz w:val="24"/>
          <w:szCs w:val="24"/>
        </w:rPr>
        <w:t xml:space="preserve"> fundamental knowledge about the formation of PN-KB's geology and, even more importantly, its extreme fragility to human development, especially agriculture. --- PN-KB is a UNESCO designated World Heritage Site located in central Vietnam. Measuring 350,000 hectares, the Park is a protected area covering one of the largest karst massifs in Asia (</w:t>
      </w:r>
      <w:proofErr w:type="spellStart"/>
      <w:r w:rsidRPr="005665FF">
        <w:rPr>
          <w:rFonts w:ascii="Arial" w:eastAsia="Times New Roman" w:hAnsi="Arial" w:cs="Arial"/>
          <w:color w:val="000000"/>
          <w:sz w:val="24"/>
          <w:szCs w:val="24"/>
        </w:rPr>
        <w:t>Tranh</w:t>
      </w:r>
      <w:proofErr w:type="spellEnd"/>
      <w:r w:rsidRPr="005665FF">
        <w:rPr>
          <w:rFonts w:ascii="Arial" w:eastAsia="Times New Roman" w:hAnsi="Arial" w:cs="Arial"/>
          <w:color w:val="000000"/>
          <w:sz w:val="24"/>
          <w:szCs w:val="24"/>
        </w:rPr>
        <w:t xml:space="preserve"> 2012) (Figure 2). The Park is known for its dense jungle, abundant biodiversity, massive cave systems, and soaring karst towers, some of which measure up to 1,000 meters (</w:t>
      </w:r>
      <w:proofErr w:type="spellStart"/>
      <w:r w:rsidRPr="005665FF">
        <w:rPr>
          <w:rFonts w:ascii="Arial" w:eastAsia="Times New Roman" w:hAnsi="Arial" w:cs="Arial"/>
          <w:color w:val="000000"/>
          <w:sz w:val="24"/>
          <w:szCs w:val="24"/>
        </w:rPr>
        <w:t>Hübner</w:t>
      </w:r>
      <w:proofErr w:type="spellEnd"/>
      <w:r w:rsidRPr="005665FF">
        <w:rPr>
          <w:rFonts w:ascii="Arial" w:eastAsia="Times New Roman" w:hAnsi="Arial" w:cs="Arial"/>
          <w:color w:val="000000"/>
          <w:sz w:val="24"/>
          <w:szCs w:val="24"/>
        </w:rPr>
        <w:t xml:space="preserve"> et al. 2014). Less frequently noted, however, is the Park's large local population. Nearly 65,000 people live within the PN-KB buffer zone, the majority of which practice small-scale subsistence and commercial agriculture (</w:t>
      </w:r>
      <w:proofErr w:type="spellStart"/>
      <w:r w:rsidRPr="005665FF">
        <w:rPr>
          <w:rFonts w:ascii="Arial" w:eastAsia="Times New Roman" w:hAnsi="Arial" w:cs="Arial"/>
          <w:color w:val="000000"/>
          <w:sz w:val="24"/>
          <w:szCs w:val="24"/>
        </w:rPr>
        <w:t>Tranh</w:t>
      </w:r>
      <w:proofErr w:type="spellEnd"/>
      <w:r w:rsidRPr="005665FF">
        <w:rPr>
          <w:rFonts w:ascii="Arial" w:eastAsia="Times New Roman" w:hAnsi="Arial" w:cs="Arial"/>
          <w:color w:val="000000"/>
          <w:sz w:val="24"/>
          <w:szCs w:val="24"/>
        </w:rPr>
        <w:t xml:space="preserve"> 2012; </w:t>
      </w:r>
      <w:proofErr w:type="spellStart"/>
      <w:r w:rsidRPr="005665FF">
        <w:rPr>
          <w:rFonts w:ascii="Arial" w:eastAsia="Times New Roman" w:hAnsi="Arial" w:cs="Arial"/>
          <w:color w:val="000000"/>
          <w:sz w:val="24"/>
          <w:szCs w:val="24"/>
        </w:rPr>
        <w:t>Willenbrink</w:t>
      </w:r>
      <w:proofErr w:type="spellEnd"/>
      <w:r w:rsidRPr="005665FF">
        <w:rPr>
          <w:rFonts w:ascii="Arial" w:eastAsia="Times New Roman" w:hAnsi="Arial" w:cs="Arial"/>
          <w:color w:val="000000"/>
          <w:sz w:val="24"/>
          <w:szCs w:val="24"/>
        </w:rPr>
        <w:t xml:space="preserve"> 2018) (Figure </w:t>
      </w:r>
      <w:proofErr w:type="gramStart"/>
      <w:r w:rsidRPr="005665FF">
        <w:rPr>
          <w:rFonts w:ascii="Arial" w:eastAsia="Times New Roman" w:hAnsi="Arial" w:cs="Arial"/>
          <w:color w:val="000000"/>
          <w:sz w:val="24"/>
          <w:szCs w:val="24"/>
        </w:rPr>
        <w:t>3)...</w:t>
      </w:r>
      <w:proofErr w:type="gramEnd"/>
      <w:r w:rsidRPr="005665FF">
        <w:rPr>
          <w:rFonts w:ascii="Arial" w:eastAsia="Times New Roman" w:hAnsi="Arial" w:cs="Arial"/>
          <w:color w:val="000000"/>
          <w:sz w:val="24"/>
          <w:szCs w:val="24"/>
        </w:rPr>
        <w:t>.</w:t>
      </w:r>
    </w:p>
    <w:p w14:paraId="78A2F93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1F3F7632"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8" w:name="m_8873885906141426999__Toc2349013"/>
      <w:r w:rsidRPr="005665FF">
        <w:rPr>
          <w:rFonts w:ascii="Calibri" w:eastAsia="Times New Roman" w:hAnsi="Calibri" w:cs="Calibri"/>
          <w:b/>
          <w:bCs/>
          <w:color w:val="800000"/>
        </w:rPr>
        <w:t>Adaptation Options for Rice-Based Cropping Systems in Climate Risk-Prone Provinces in the Mekong River Delta: An Assessment Report.</w:t>
      </w:r>
      <w:bookmarkEnd w:id="8"/>
    </w:p>
    <w:p w14:paraId="60A60D1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Bui Ba Bong, </w:t>
      </w:r>
      <w:proofErr w:type="spellStart"/>
      <w:r w:rsidRPr="005665FF">
        <w:rPr>
          <w:rFonts w:ascii="Arial" w:eastAsia="Times New Roman" w:hAnsi="Arial" w:cs="Arial"/>
          <w:color w:val="000000"/>
          <w:sz w:val="24"/>
          <w:szCs w:val="24"/>
        </w:rPr>
        <w:t>Leocadio</w:t>
      </w:r>
      <w:proofErr w:type="spellEnd"/>
      <w:r w:rsidRPr="005665FF">
        <w:rPr>
          <w:rFonts w:ascii="Arial" w:eastAsia="Times New Roman" w:hAnsi="Arial" w:cs="Arial"/>
          <w:color w:val="000000"/>
          <w:sz w:val="24"/>
          <w:szCs w:val="24"/>
        </w:rPr>
        <w:t xml:space="preserve"> Sebastian, Nguyen Hong Son, Bui Tan Yen, Nguyen Van Bo and others. CCAFS Working Paper No. 245, 2018.</w:t>
      </w:r>
    </w:p>
    <w:p w14:paraId="5D511CA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7" w:tgtFrame="_blank" w:history="1">
        <w:r w:rsidRPr="005665FF">
          <w:rPr>
            <w:rFonts w:ascii="Arial" w:eastAsia="Times New Roman" w:hAnsi="Arial" w:cs="Arial"/>
            <w:color w:val="1155CC"/>
            <w:sz w:val="24"/>
            <w:szCs w:val="24"/>
            <w:u w:val="single"/>
          </w:rPr>
          <w:t>https://cgspace.cgiar.org/bitstream/handle/10568/99248/CCAFS%20WP%20245_Mekong%20Assessment.pdf</w:t>
        </w:r>
      </w:hyperlink>
      <w:r w:rsidRPr="005665FF">
        <w:rPr>
          <w:rFonts w:ascii="Arial" w:eastAsia="Times New Roman" w:hAnsi="Arial" w:cs="Arial"/>
          <w:color w:val="000000"/>
          <w:sz w:val="24"/>
          <w:szCs w:val="24"/>
        </w:rPr>
        <w:t>.</w:t>
      </w:r>
    </w:p>
    <w:p w14:paraId="0BC4D85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9AD02E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report highlights the results of consultation meetings and field visits organized by the Department of Crop Production and the CGIAR Research Program on Climate Change, Agriculture and Food Security in Southeast Asia in association with the five offices of the Department of Agriculture and Rural Development in the Mekong River Delta provinces of </w:t>
      </w:r>
      <w:proofErr w:type="gramStart"/>
      <w:r w:rsidRPr="005665FF">
        <w:rPr>
          <w:rFonts w:ascii="Arial" w:eastAsia="Times New Roman" w:hAnsi="Arial" w:cs="Arial"/>
          <w:color w:val="000000"/>
          <w:sz w:val="24"/>
          <w:szCs w:val="24"/>
        </w:rPr>
        <w:t>An</w:t>
      </w:r>
      <w:proofErr w:type="gram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Giang</w:t>
      </w:r>
      <w:proofErr w:type="spellEnd"/>
      <w:r w:rsidRPr="005665FF">
        <w:rPr>
          <w:rFonts w:ascii="Arial" w:eastAsia="Times New Roman" w:hAnsi="Arial" w:cs="Arial"/>
          <w:color w:val="000000"/>
          <w:sz w:val="24"/>
          <w:szCs w:val="24"/>
        </w:rPr>
        <w:t xml:space="preserve">, Can </w:t>
      </w:r>
      <w:proofErr w:type="spellStart"/>
      <w:r w:rsidRPr="005665FF">
        <w:rPr>
          <w:rFonts w:ascii="Arial" w:eastAsia="Times New Roman" w:hAnsi="Arial" w:cs="Arial"/>
          <w:color w:val="000000"/>
          <w:sz w:val="24"/>
          <w:szCs w:val="24"/>
        </w:rPr>
        <w:t>Tho</w:t>
      </w:r>
      <w:proofErr w:type="spellEnd"/>
      <w:r w:rsidRPr="005665FF">
        <w:rPr>
          <w:rFonts w:ascii="Arial" w:eastAsia="Times New Roman" w:hAnsi="Arial" w:cs="Arial"/>
          <w:color w:val="000000"/>
          <w:sz w:val="24"/>
          <w:szCs w:val="24"/>
        </w:rPr>
        <w:t xml:space="preserve">, Dong </w:t>
      </w:r>
      <w:proofErr w:type="spellStart"/>
      <w:r w:rsidRPr="005665FF">
        <w:rPr>
          <w:rFonts w:ascii="Arial" w:eastAsia="Times New Roman" w:hAnsi="Arial" w:cs="Arial"/>
          <w:color w:val="000000"/>
          <w:sz w:val="24"/>
          <w:szCs w:val="24"/>
        </w:rPr>
        <w:t>Thap</w:t>
      </w:r>
      <w:proofErr w:type="spellEnd"/>
      <w:r w:rsidRPr="005665FF">
        <w:rPr>
          <w:rFonts w:ascii="Arial" w:eastAsia="Times New Roman" w:hAnsi="Arial" w:cs="Arial"/>
          <w:color w:val="000000"/>
          <w:sz w:val="24"/>
          <w:szCs w:val="24"/>
        </w:rPr>
        <w:t xml:space="preserve">, Long An, and </w:t>
      </w:r>
      <w:proofErr w:type="spellStart"/>
      <w:r w:rsidRPr="005665FF">
        <w:rPr>
          <w:rFonts w:ascii="Arial" w:eastAsia="Times New Roman" w:hAnsi="Arial" w:cs="Arial"/>
          <w:color w:val="000000"/>
          <w:sz w:val="24"/>
          <w:szCs w:val="24"/>
        </w:rPr>
        <w:t>Tra</w:t>
      </w:r>
      <w:proofErr w:type="spellEnd"/>
      <w:r w:rsidRPr="005665FF">
        <w:rPr>
          <w:rFonts w:ascii="Arial" w:eastAsia="Times New Roman" w:hAnsi="Arial" w:cs="Arial"/>
          <w:color w:val="000000"/>
          <w:sz w:val="24"/>
          <w:szCs w:val="24"/>
        </w:rPr>
        <w:t xml:space="preserve"> Vinh. </w:t>
      </w:r>
      <w:proofErr w:type="gramStart"/>
      <w:r w:rsidRPr="005665FF">
        <w:rPr>
          <w:rFonts w:ascii="Arial" w:eastAsia="Times New Roman" w:hAnsi="Arial" w:cs="Arial"/>
          <w:color w:val="000000"/>
          <w:sz w:val="24"/>
          <w:szCs w:val="24"/>
        </w:rPr>
        <w:t>---  The</w:t>
      </w:r>
      <w:proofErr w:type="gramEnd"/>
      <w:r w:rsidRPr="005665FF">
        <w:rPr>
          <w:rFonts w:ascii="Arial" w:eastAsia="Times New Roman" w:hAnsi="Arial" w:cs="Arial"/>
          <w:color w:val="000000"/>
          <w:sz w:val="24"/>
          <w:szCs w:val="24"/>
        </w:rPr>
        <w:t xml:space="preserve"> meetings underlined progress made by the provinces on climate change adaptation and mitigation, options for risk reductions, crop production, conversion, management and practices as mandated in various circulars, directives, and decisions notably Decision No. 1915/QD-BNH-KH issued by the Ministry of Agriculture and Rural Development that approved the Master Plan for Rice Production Development in Mekong River Delta to 2015, Vision to 2030 under the context of Climate Change. ---  This assessment report also looks at various issues that affect the agricultural transformation of the region such as failure to recognize risks brought about by climate change, unpredictable prices of agricultural products in the local and world market, lack of linkages between farmers and potential markets, lack of knowledge and skills in growing new crops, and spontaneous breaching of provincial government plans in changing cropping systems, and more investments in modernizing agricultural infrastructure, among others. The report draws upon the critical importance of the master plan mentioned earlier in rice restructuring within the context of the whole Mekong Delta to guide and shape the actions of the visited provinces. Climate-related risks maps and adaptation plans (CS MAP), which is applied in the five Mekong Delta Region provinces, are found to be valuable in complementing the planting calendar of rice seasons.</w:t>
      </w:r>
    </w:p>
    <w:p w14:paraId="1D55750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AFC8C3C" w14:textId="77777777" w:rsidR="005665FF" w:rsidRPr="005665FF" w:rsidRDefault="005665FF" w:rsidP="005665FF">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5665FF">
        <w:rPr>
          <w:rStyle w:val="Hyperlink"/>
          <w:rFonts w:ascii="Arial" w:eastAsia="Times New Roman" w:hAnsi="Arial" w:cs="Arial"/>
          <w:sz w:val="24"/>
          <w:szCs w:val="24"/>
        </w:rPr>
        <w:t>Back to top</w:t>
      </w:r>
    </w:p>
    <w:p w14:paraId="00324A04" w14:textId="437141C2" w:rsidR="005665FF" w:rsidRPr="005665FF" w:rsidRDefault="005665FF" w:rsidP="005665FF">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5665FF">
        <w:rPr>
          <w:rFonts w:ascii="Arial" w:eastAsia="Times New Roman" w:hAnsi="Arial" w:cs="Arial"/>
          <w:color w:val="000000"/>
          <w:sz w:val="24"/>
          <w:szCs w:val="24"/>
        </w:rPr>
        <w:t> </w:t>
      </w:r>
    </w:p>
    <w:p w14:paraId="244E1A8D"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9" w:name="m_8873885906141426999__Toc2349014"/>
      <w:r w:rsidRPr="005665FF">
        <w:rPr>
          <w:rFonts w:ascii="Calibri" w:eastAsia="Times New Roman" w:hAnsi="Calibri" w:cs="Calibri"/>
          <w:b/>
          <w:bCs/>
          <w:color w:val="800000"/>
        </w:rPr>
        <w:t>Individual-level employment transitions in rural Viet Nam.</w:t>
      </w:r>
      <w:bookmarkEnd w:id="9"/>
    </w:p>
    <w:p w14:paraId="635D554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Ngo Quang-Thanh, </w:t>
      </w:r>
      <w:proofErr w:type="spellStart"/>
      <w:r w:rsidRPr="005665FF">
        <w:rPr>
          <w:rFonts w:ascii="Arial" w:eastAsia="Times New Roman" w:hAnsi="Arial" w:cs="Arial"/>
          <w:color w:val="000000"/>
          <w:sz w:val="24"/>
          <w:szCs w:val="24"/>
        </w:rPr>
        <w:t>editor^editors</w:t>
      </w:r>
      <w:proofErr w:type="spellEnd"/>
      <w:r w:rsidRPr="005665FF">
        <w:rPr>
          <w:rFonts w:ascii="Arial" w:eastAsia="Times New Roman" w:hAnsi="Arial" w:cs="Arial"/>
          <w:color w:val="000000"/>
          <w:sz w:val="24"/>
          <w:szCs w:val="24"/>
        </w:rPr>
        <w:t>, UNU-WIDER, Helsinki, Finland, 2018.</w:t>
      </w:r>
    </w:p>
    <w:p w14:paraId="0E9EA7D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779AC64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Structural transformation in rural areas is a key issue in economic development. While much of the literature on structural transformation has so far </w:t>
      </w:r>
      <w:proofErr w:type="spellStart"/>
      <w:r w:rsidRPr="005665FF">
        <w:rPr>
          <w:rFonts w:ascii="Arial" w:eastAsia="Times New Roman" w:hAnsi="Arial" w:cs="Arial"/>
          <w:color w:val="000000"/>
          <w:sz w:val="24"/>
          <w:szCs w:val="24"/>
        </w:rPr>
        <w:t>focussed</w:t>
      </w:r>
      <w:proofErr w:type="spellEnd"/>
      <w:r w:rsidRPr="005665FF">
        <w:rPr>
          <w:rFonts w:ascii="Arial" w:eastAsia="Times New Roman" w:hAnsi="Arial" w:cs="Arial"/>
          <w:color w:val="000000"/>
          <w:sz w:val="24"/>
          <w:szCs w:val="24"/>
        </w:rPr>
        <w:t xml:space="preserve"> on household- or commune levels or even higher aggregate levels, little is known about the individual member level. --- The paper aims at examining factors that affect the individual-level employment rural transitions in Viet Nam, namely: (1) non-transient farm; (2) positive transient farm; (3) out-of-wage transition; (4) transitory farm-household work; and (5) transitory wage-household work. --- By taking advantage of the Viet Nam Access to Resources Household Survey (VARHS) with data on 2,699 individuals for two years, 2008 and 2016, we find that individual-level human capital and social capital are important factors affecting employment transition status in the rural area. In addition, changes in individual and household characteristics and socio-economic conditions at commune level are important to influence various types of employment </w:t>
      </w:r>
      <w:proofErr w:type="gramStart"/>
      <w:r w:rsidRPr="005665FF">
        <w:rPr>
          <w:rFonts w:ascii="Arial" w:eastAsia="Times New Roman" w:hAnsi="Arial" w:cs="Arial"/>
          <w:color w:val="000000"/>
          <w:sz w:val="24"/>
          <w:szCs w:val="24"/>
        </w:rPr>
        <w:t>transitions.&lt;</w:t>
      </w:r>
      <w:proofErr w:type="gramEnd"/>
      <w:r w:rsidRPr="005665FF">
        <w:rPr>
          <w:rFonts w:ascii="Arial" w:eastAsia="Times New Roman" w:hAnsi="Arial" w:cs="Arial"/>
          <w:color w:val="000000"/>
          <w:sz w:val="24"/>
          <w:szCs w:val="24"/>
        </w:rPr>
        <w:t>/p&gt; &lt;p&gt;       These results have implications for the development policy on rural transition in developing countries, highlighting the importance of recognizing the positive aspects of changes in individual-, household-, and commune-levels for rural transformation. Promotion of education attainment is necessary at both individual- and household-level to spur the transition out of farming. --- Broadened policy mechanisms which support and encourage non-farm employment at the household level are also needed. Likewise, development initiatives that focus on increasing the human and social assets of the individual farmers and farming households are more likely to be successful in supporting livelihood diversification and reducing vulnerability.</w:t>
      </w:r>
    </w:p>
    <w:p w14:paraId="07B4F7A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48D3FCB"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0" w:name="m_8873885906141426999__Toc2349015"/>
      <w:r w:rsidRPr="005665FF">
        <w:rPr>
          <w:rFonts w:ascii="Calibri" w:eastAsia="Times New Roman" w:hAnsi="Calibri" w:cs="Calibri"/>
          <w:b/>
          <w:bCs/>
          <w:color w:val="800000"/>
        </w:rPr>
        <w:t>Integrating farmers’ adaptive knowledge into flood management and adaptation policies in the Vietnamese Mekong Delta: A social learning perspective.</w:t>
      </w:r>
      <w:bookmarkEnd w:id="10"/>
    </w:p>
    <w:p w14:paraId="79D53A31" w14:textId="77777777" w:rsidR="005665FF" w:rsidRPr="005665FF" w:rsidRDefault="005665FF" w:rsidP="005665FF">
      <w:pPr>
        <w:spacing w:before="100" w:beforeAutospacing="1" w:after="0" w:line="240" w:lineRule="auto"/>
        <w:rPr>
          <w:rFonts w:ascii="Arial" w:eastAsia="Times New Roman" w:hAnsi="Arial" w:cs="Arial"/>
          <w:color w:val="000000"/>
          <w:sz w:val="24"/>
          <w:szCs w:val="24"/>
          <w:lang w:val="fr-FR"/>
        </w:rPr>
      </w:pPr>
      <w:r w:rsidRPr="005665FF">
        <w:rPr>
          <w:rFonts w:ascii="Arial" w:eastAsia="Times New Roman" w:hAnsi="Arial" w:cs="Arial"/>
          <w:color w:val="000000"/>
          <w:sz w:val="24"/>
          <w:szCs w:val="24"/>
        </w:rPr>
        <w:t xml:space="preserve">Thong Anh Tran and Romina </w:t>
      </w:r>
      <w:proofErr w:type="spellStart"/>
      <w:r w:rsidRPr="005665FF">
        <w:rPr>
          <w:rFonts w:ascii="Arial" w:eastAsia="Times New Roman" w:hAnsi="Arial" w:cs="Arial"/>
          <w:color w:val="000000"/>
          <w:sz w:val="24"/>
          <w:szCs w:val="24"/>
        </w:rPr>
        <w:t>Rodela</w:t>
      </w:r>
      <w:proofErr w:type="spellEnd"/>
      <w:r w:rsidRPr="005665FF">
        <w:rPr>
          <w:rFonts w:ascii="Arial" w:eastAsia="Times New Roman" w:hAnsi="Arial" w:cs="Arial"/>
          <w:color w:val="000000"/>
          <w:sz w:val="24"/>
          <w:szCs w:val="24"/>
        </w:rPr>
        <w:t xml:space="preserve">. </w:t>
      </w:r>
      <w:r w:rsidRPr="005665FF">
        <w:rPr>
          <w:rFonts w:ascii="Arial" w:eastAsia="Times New Roman" w:hAnsi="Arial" w:cs="Arial"/>
          <w:color w:val="000000"/>
          <w:sz w:val="24"/>
          <w:szCs w:val="24"/>
          <w:lang w:val="fr-FR"/>
        </w:rPr>
        <w:t xml:space="preserve">Global </w:t>
      </w:r>
      <w:proofErr w:type="spellStart"/>
      <w:r w:rsidRPr="005665FF">
        <w:rPr>
          <w:rFonts w:ascii="Arial" w:eastAsia="Times New Roman" w:hAnsi="Arial" w:cs="Arial"/>
          <w:color w:val="000000"/>
          <w:sz w:val="24"/>
          <w:szCs w:val="24"/>
          <w:lang w:val="fr-FR"/>
        </w:rPr>
        <w:t>Environmental</w:t>
      </w:r>
      <w:proofErr w:type="spellEnd"/>
      <w:r w:rsidRPr="005665FF">
        <w:rPr>
          <w:rFonts w:ascii="Arial" w:eastAsia="Times New Roman" w:hAnsi="Arial" w:cs="Arial"/>
          <w:color w:val="000000"/>
          <w:sz w:val="24"/>
          <w:szCs w:val="24"/>
          <w:lang w:val="fr-FR"/>
        </w:rPr>
        <w:t xml:space="preserve"> Change, 2019, volume 55, pp. 84-96.</w:t>
      </w:r>
    </w:p>
    <w:p w14:paraId="042655C7" w14:textId="77777777" w:rsidR="005665FF" w:rsidRPr="005665FF" w:rsidRDefault="005665FF" w:rsidP="005665FF">
      <w:pPr>
        <w:spacing w:before="100" w:beforeAutospacing="1" w:after="0" w:line="240" w:lineRule="auto"/>
        <w:rPr>
          <w:rFonts w:ascii="Arial" w:eastAsia="Times New Roman" w:hAnsi="Arial" w:cs="Arial"/>
          <w:color w:val="000000"/>
          <w:sz w:val="24"/>
          <w:szCs w:val="24"/>
          <w:lang w:val="fr-FR"/>
        </w:rPr>
      </w:pPr>
      <w:r w:rsidRPr="005665FF">
        <w:rPr>
          <w:rFonts w:ascii="Arial" w:eastAsia="Times New Roman" w:hAnsi="Arial" w:cs="Arial"/>
          <w:color w:val="000000"/>
          <w:sz w:val="24"/>
          <w:szCs w:val="24"/>
          <w:lang w:val="fr-FR"/>
        </w:rPr>
        <w:t> </w:t>
      </w:r>
    </w:p>
    <w:p w14:paraId="4DB55D0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Flood management and adaptation are important elements in sustaining farming production in the Vietnamese Mekong Delta (VMD). While over the past decades hydraulic development introduced by the central government has substantially benefited the rural economy, it has simultaneously caused multiple barriers to rural adaptation. We investigate the relational practices (i.e., learning interactions) taking place within and across the flood management and adaptation boundaries from the perspective of social learning. We explore whether and how adaptive knowledge (i.e., experimental and experiential knowledge) derived from farmers’ everyday adaptation practices contributes to local flood management and adaptation policies in the selected areas. We collected data through nine focus groups with farmers and thirty-three interviews with government officials, environmental scientists, and farmers. Qualitative analysis suggests that such processes are largely shaped by the institutional context </w:t>
      </w:r>
      <w:r w:rsidRPr="005665FF">
        <w:rPr>
          <w:rFonts w:ascii="Arial" w:eastAsia="Times New Roman" w:hAnsi="Arial" w:cs="Arial"/>
          <w:color w:val="000000"/>
          <w:sz w:val="24"/>
          <w:szCs w:val="24"/>
        </w:rPr>
        <w:lastRenderedPageBreak/>
        <w:t>where the boundary is embedded. This study found that while the highly bureaucratic operation of flood management creates constraints for feedback, the more informal arrangements set in place at the local level provide flexible platforms conducive to open communication, collaborative learning, and exchange of knowledge among the different actors. This study highlights the pivotal role of shadow systems that provide space for establishing and maintaining informal interactions and relationships between social actors (e.g., interactions between farmers and extension officials) in stimulating and influencing, from the bottom-up, the emergence of adaptive knowledge about flood management and adaptation in a local context.</w:t>
      </w:r>
    </w:p>
    <w:p w14:paraId="41BEB60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C5AE8C3"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1" w:name="m_8873885906141426999__Toc2349016"/>
      <w:r w:rsidRPr="005665FF">
        <w:rPr>
          <w:rFonts w:ascii="Calibri" w:eastAsia="Times New Roman" w:hAnsi="Calibri" w:cs="Calibri"/>
          <w:b/>
          <w:bCs/>
          <w:color w:val="800000"/>
        </w:rPr>
        <w:t>A model to examine farm household trade-offs and synergies with an application to smallholders in Vietnam.</w:t>
      </w:r>
      <w:bookmarkEnd w:id="11"/>
    </w:p>
    <w:p w14:paraId="56A06B1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Lenora </w:t>
      </w:r>
      <w:proofErr w:type="spellStart"/>
      <w:r w:rsidRPr="005665FF">
        <w:rPr>
          <w:rFonts w:ascii="Arial" w:eastAsia="Times New Roman" w:hAnsi="Arial" w:cs="Arial"/>
          <w:color w:val="000000"/>
          <w:sz w:val="24"/>
          <w:szCs w:val="24"/>
        </w:rPr>
        <w:t>Ditzler</w:t>
      </w:r>
      <w:proofErr w:type="spellEnd"/>
      <w:r w:rsidRPr="005665FF">
        <w:rPr>
          <w:rFonts w:ascii="Arial" w:eastAsia="Times New Roman" w:hAnsi="Arial" w:cs="Arial"/>
          <w:color w:val="000000"/>
          <w:sz w:val="24"/>
          <w:szCs w:val="24"/>
        </w:rPr>
        <w:t xml:space="preserve">, Adam M. </w:t>
      </w:r>
      <w:proofErr w:type="spellStart"/>
      <w:r w:rsidRPr="005665FF">
        <w:rPr>
          <w:rFonts w:ascii="Arial" w:eastAsia="Times New Roman" w:hAnsi="Arial" w:cs="Arial"/>
          <w:color w:val="000000"/>
          <w:sz w:val="24"/>
          <w:szCs w:val="24"/>
        </w:rPr>
        <w:t>Komarek</w:t>
      </w:r>
      <w:proofErr w:type="spellEnd"/>
      <w:r w:rsidRPr="005665FF">
        <w:rPr>
          <w:rFonts w:ascii="Arial" w:eastAsia="Times New Roman" w:hAnsi="Arial" w:cs="Arial"/>
          <w:color w:val="000000"/>
          <w:sz w:val="24"/>
          <w:szCs w:val="24"/>
        </w:rPr>
        <w:t xml:space="preserve">, Tsai-Wei Chiang, </w:t>
      </w:r>
      <w:proofErr w:type="spellStart"/>
      <w:r w:rsidRPr="005665FF">
        <w:rPr>
          <w:rFonts w:ascii="Arial" w:eastAsia="Times New Roman" w:hAnsi="Arial" w:cs="Arial"/>
          <w:color w:val="000000"/>
          <w:sz w:val="24"/>
          <w:szCs w:val="24"/>
        </w:rPr>
        <w:t>Stéphanie</w:t>
      </w:r>
      <w:proofErr w:type="spellEnd"/>
      <w:r w:rsidRPr="005665FF">
        <w:rPr>
          <w:rFonts w:ascii="Arial" w:eastAsia="Times New Roman" w:hAnsi="Arial" w:cs="Arial"/>
          <w:color w:val="000000"/>
          <w:sz w:val="24"/>
          <w:szCs w:val="24"/>
        </w:rPr>
        <w:t xml:space="preserve"> Alvarez, </w:t>
      </w:r>
      <w:proofErr w:type="spellStart"/>
      <w:r w:rsidRPr="005665FF">
        <w:rPr>
          <w:rFonts w:ascii="Arial" w:eastAsia="Times New Roman" w:hAnsi="Arial" w:cs="Arial"/>
          <w:color w:val="000000"/>
          <w:sz w:val="24"/>
          <w:szCs w:val="24"/>
        </w:rPr>
        <w:t>Shantonu</w:t>
      </w:r>
      <w:proofErr w:type="spellEnd"/>
      <w:r w:rsidRPr="005665FF">
        <w:rPr>
          <w:rFonts w:ascii="Arial" w:eastAsia="Times New Roman" w:hAnsi="Arial" w:cs="Arial"/>
          <w:color w:val="000000"/>
          <w:sz w:val="24"/>
          <w:szCs w:val="24"/>
        </w:rPr>
        <w:t xml:space="preserve"> Abe Chatterjee and others. Agricultural Systems, 2019, volume 173, pp. 49-63.</w:t>
      </w:r>
    </w:p>
    <w:p w14:paraId="63391A8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0BCCB8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Farm models have the potential to describe farming systems and livelihoods, identify trade-offs and synergies, and provide ex-ante assessments of agricultural technologies and policies. We developed three new modules related to budget, labor, and human nutrition for the bio-economic whole-farm model ‘</w:t>
      </w:r>
      <w:proofErr w:type="spellStart"/>
      <w:r w:rsidRPr="005665FF">
        <w:rPr>
          <w:rFonts w:ascii="Arial" w:eastAsia="Times New Roman" w:hAnsi="Arial" w:cs="Arial"/>
          <w:color w:val="000000"/>
          <w:sz w:val="24"/>
          <w:szCs w:val="24"/>
        </w:rPr>
        <w:t>FarmDESIGN</w:t>
      </w:r>
      <w:proofErr w:type="spellEnd"/>
      <w:r w:rsidRPr="005665FF">
        <w:rPr>
          <w:rFonts w:ascii="Arial" w:eastAsia="Times New Roman" w:hAnsi="Arial" w:cs="Arial"/>
          <w:color w:val="000000"/>
          <w:sz w:val="24"/>
          <w:szCs w:val="24"/>
        </w:rPr>
        <w:t>’. The expanded model positions the farming enterprise within the farm household. We illustrate the model's new capabilities for farm households in two villages in Northwest Vietnam, where we conducted multi-objective optimization to identify options for improving the farm households' current performance on key sustainability and livelihood indicators. Modeling results suggest trade-offs between environmental, economic, and social objectives are common, although not universal. The new modules increase the scope for modeling flows of resources (namely cash, labor, and food) between the farm enterprise and the farm household, as well as beyond the farm gate. This allows conducting modeling explorations, optimization routines, and scenario analyses in farming systems research.</w:t>
      </w:r>
    </w:p>
    <w:p w14:paraId="05D98D6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18C12CE" w14:textId="77777777" w:rsidR="005665FF" w:rsidRPr="005665FF" w:rsidRDefault="005665FF" w:rsidP="005665FF">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Pr>
          <w:rFonts w:ascii="Arial" w:eastAsia="Times New Roman" w:hAnsi="Arial" w:cs="Arial"/>
          <w:color w:val="1155CC"/>
          <w:sz w:val="24"/>
          <w:szCs w:val="24"/>
          <w:u w:val="single"/>
        </w:rPr>
        <w:fldChar w:fldCharType="begin"/>
      </w:r>
      <w:r>
        <w:rPr>
          <w:rFonts w:ascii="Arial" w:eastAsia="Times New Roman" w:hAnsi="Arial" w:cs="Arial"/>
          <w:color w:val="1155CC"/>
          <w:sz w:val="24"/>
          <w:szCs w:val="24"/>
          <w:u w:val="single"/>
        </w:rPr>
        <w:instrText xml:space="preserve"> HYPERLINK  \l "_top" </w:instrText>
      </w:r>
      <w:r>
        <w:rPr>
          <w:rFonts w:ascii="Arial" w:eastAsia="Times New Roman" w:hAnsi="Arial" w:cs="Arial"/>
          <w:color w:val="1155CC"/>
          <w:sz w:val="24"/>
          <w:szCs w:val="24"/>
          <w:u w:val="single"/>
        </w:rPr>
      </w:r>
      <w:r>
        <w:rPr>
          <w:rFonts w:ascii="Arial" w:eastAsia="Times New Roman" w:hAnsi="Arial" w:cs="Arial"/>
          <w:color w:val="1155CC"/>
          <w:sz w:val="24"/>
          <w:szCs w:val="24"/>
          <w:u w:val="single"/>
        </w:rPr>
        <w:fldChar w:fldCharType="separate"/>
      </w:r>
      <w:r w:rsidRPr="005665FF">
        <w:rPr>
          <w:rStyle w:val="Hyperlink"/>
          <w:rFonts w:ascii="Arial" w:eastAsia="Times New Roman" w:hAnsi="Arial" w:cs="Arial"/>
          <w:sz w:val="24"/>
          <w:szCs w:val="24"/>
        </w:rPr>
        <w:t>Back to top</w:t>
      </w:r>
    </w:p>
    <w:p w14:paraId="1226EC9B" w14:textId="7ADDFC11" w:rsidR="005665FF" w:rsidRPr="005665FF" w:rsidRDefault="005665FF" w:rsidP="005665FF">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Pr="005665FF">
        <w:rPr>
          <w:rFonts w:ascii="Arial" w:eastAsia="Times New Roman" w:hAnsi="Arial" w:cs="Arial"/>
          <w:color w:val="000000"/>
          <w:sz w:val="24"/>
          <w:szCs w:val="24"/>
        </w:rPr>
        <w:t> </w:t>
      </w:r>
    </w:p>
    <w:p w14:paraId="7A4FA510"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2" w:name="m_8873885906141426999__Toc2349017"/>
      <w:r w:rsidRPr="005665FF">
        <w:rPr>
          <w:rFonts w:ascii="Calibri" w:eastAsia="Times New Roman" w:hAnsi="Calibri" w:cs="Calibri"/>
          <w:b/>
          <w:bCs/>
          <w:color w:val="800000"/>
        </w:rPr>
        <w:t>Regional differences in willingness to pay for organic vegetables in Vietnam.</w:t>
      </w:r>
      <w:bookmarkEnd w:id="12"/>
    </w:p>
    <w:p w14:paraId="5C7C3DD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Thanh Mai Ha, Shamim Shakur and Kim Hang Pham Do. Massey University School of Economics and Finance, New Zealand Discussion Papers, 2018.</w:t>
      </w:r>
    </w:p>
    <w:p w14:paraId="255D31A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346B7A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Abstract: The concern about vegetable safety, together with a booming population and the rise of the middle class has made Vietnam become a potential market for organic vegetables. This paper investigates the determinants of willingness to pay (WTP) for organic vegetables in Hanoi, Vietnam with a particular attention to regional differences and the effect of risk perception. Using Contingent Valuation Method to analyze the data from a sample of 498 consumers in Hanoi, the paper shows that the perceived use values of organic vegetables, trust in organic labels, and disposable family income increased WTP for organic vegetables in both urban and rural regions. Though risk perception of conventional vegetables was high in both regions, such heightened risk perception just translated into the WTP in the rural region. In addition, the percentage of home-grown vegetables in the total vegetable consumption of the family influenced the WTP in the rural region only. Moreover, being an organic purchaser was positively related to the WTP in the urban region but not in the rural region. The paper also discusses three policy implications for Vietnam to boost the demand for organic food.</w:t>
      </w:r>
    </w:p>
    <w:p w14:paraId="4AFF347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B8B9930"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3" w:name="m_8873885906141426999__Toc2349018"/>
      <w:r w:rsidRPr="005665FF">
        <w:rPr>
          <w:rFonts w:ascii="Calibri" w:eastAsia="Times New Roman" w:hAnsi="Calibri" w:cs="Calibri"/>
          <w:b/>
          <w:bCs/>
          <w:color w:val="800000"/>
        </w:rPr>
        <w:t>Achieving fish passage outcomes at irrigation infrastructure; a case study from the Lower Mekong Basin.</w:t>
      </w:r>
      <w:bookmarkEnd w:id="13"/>
    </w:p>
    <w:p w14:paraId="7580918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Lee J. Baumgartner, Chris Barlow, Martin </w:t>
      </w:r>
      <w:proofErr w:type="spellStart"/>
      <w:r w:rsidRPr="005665FF">
        <w:rPr>
          <w:rFonts w:ascii="Arial" w:eastAsia="Times New Roman" w:hAnsi="Arial" w:cs="Arial"/>
          <w:color w:val="000000"/>
          <w:sz w:val="24"/>
          <w:szCs w:val="24"/>
        </w:rPr>
        <w:t>Mallen</w:t>
      </w:r>
      <w:proofErr w:type="spellEnd"/>
      <w:r w:rsidRPr="005665FF">
        <w:rPr>
          <w:rFonts w:ascii="Arial" w:eastAsia="Times New Roman" w:hAnsi="Arial" w:cs="Arial"/>
          <w:color w:val="000000"/>
          <w:sz w:val="24"/>
          <w:szCs w:val="24"/>
        </w:rPr>
        <w:t>-Cooper, Craig Boys, Tim Marsden and others. Aquaculture and Fisheries, 2019.</w:t>
      </w:r>
    </w:p>
    <w:p w14:paraId="605B4EF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8" w:tgtFrame="_blank" w:history="1">
        <w:r w:rsidRPr="005665FF">
          <w:rPr>
            <w:rFonts w:ascii="Arial" w:eastAsia="Times New Roman" w:hAnsi="Arial" w:cs="Arial"/>
            <w:color w:val="1155CC"/>
            <w:sz w:val="24"/>
            <w:szCs w:val="24"/>
            <w:u w:val="single"/>
          </w:rPr>
          <w:t>http://www.sciencedirect.com/science/article/pii/S2468550X1830159X</w:t>
        </w:r>
      </w:hyperlink>
      <w:r w:rsidRPr="005665FF">
        <w:rPr>
          <w:rFonts w:ascii="Arial" w:eastAsia="Times New Roman" w:hAnsi="Arial" w:cs="Arial"/>
          <w:color w:val="000000"/>
          <w:sz w:val="24"/>
          <w:szCs w:val="24"/>
        </w:rPr>
        <w:t>.</w:t>
      </w:r>
    </w:p>
    <w:p w14:paraId="29F0533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3B5FCE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Irrigation infrastructure expansion threatens the diversity of freshwater fish worldwide. Irrigation infrastructure creates migration barriers which can block access to important nursery, feeding and spawning habitat. Lao PDR is a landlocked country situated within the Lower Mekong River Basin where there is a substantial dependency on rice and fish for food, income and livelihoods. The country is experiencing an unprecedented boom in irrigation infrastructure investment, with </w:t>
      </w:r>
      <w:proofErr w:type="spellStart"/>
      <w:r w:rsidRPr="005665FF">
        <w:rPr>
          <w:rFonts w:ascii="Arial" w:eastAsia="Times New Roman" w:hAnsi="Arial" w:cs="Arial"/>
          <w:color w:val="000000"/>
          <w:sz w:val="24"/>
          <w:szCs w:val="24"/>
        </w:rPr>
        <w:t>modernisation</w:t>
      </w:r>
      <w:proofErr w:type="spellEnd"/>
      <w:r w:rsidRPr="005665FF">
        <w:rPr>
          <w:rFonts w:ascii="Arial" w:eastAsia="Times New Roman" w:hAnsi="Arial" w:cs="Arial"/>
          <w:color w:val="000000"/>
          <w:sz w:val="24"/>
          <w:szCs w:val="24"/>
        </w:rPr>
        <w:t xml:space="preserve"> programs being implemented in every province. Despite significant investment in infrastructure upgrades, and the potential impact on freshwater fish, little consideration has been given to fish passage solutions. In 2008, we commenced a fish passage program in Lao PDR. The intent of this case study is to outline the pivotal elements of the program of knowledge development and transfer, in the context of river connectivity and fisheries management in Lao PDR. We also highlight challenges in international research in development and lessons learned.</w:t>
      </w:r>
    </w:p>
    <w:p w14:paraId="77B467D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F014E5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4" w:name="m_8873885906141426999__Toc2349019"/>
      <w:r w:rsidRPr="005665FF">
        <w:rPr>
          <w:rFonts w:ascii="Calibri" w:eastAsia="Times New Roman" w:hAnsi="Calibri" w:cs="Calibri"/>
          <w:b/>
          <w:bCs/>
          <w:color w:val="800000"/>
        </w:rPr>
        <w:t>A Sustainable Energy Model for Shrimp Farms in the Mekong Delta.</w:t>
      </w:r>
      <w:bookmarkEnd w:id="14"/>
    </w:p>
    <w:p w14:paraId="5028584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Nguyen </w:t>
      </w:r>
      <w:proofErr w:type="spellStart"/>
      <w:r w:rsidRPr="005665FF">
        <w:rPr>
          <w:rFonts w:ascii="Arial" w:eastAsia="Times New Roman" w:hAnsi="Arial" w:cs="Arial"/>
          <w:color w:val="000000"/>
          <w:sz w:val="24"/>
          <w:szCs w:val="24"/>
        </w:rPr>
        <w:t>Nhut</w:t>
      </w:r>
      <w:proofErr w:type="spellEnd"/>
      <w:r w:rsidRPr="005665FF">
        <w:rPr>
          <w:rFonts w:ascii="Arial" w:eastAsia="Times New Roman" w:hAnsi="Arial" w:cs="Arial"/>
          <w:color w:val="000000"/>
          <w:sz w:val="24"/>
          <w:szCs w:val="24"/>
        </w:rPr>
        <w:t xml:space="preserve"> Tien, Ryuji </w:t>
      </w:r>
      <w:proofErr w:type="spellStart"/>
      <w:r w:rsidRPr="005665FF">
        <w:rPr>
          <w:rFonts w:ascii="Arial" w:eastAsia="Times New Roman" w:hAnsi="Arial" w:cs="Arial"/>
          <w:color w:val="000000"/>
          <w:sz w:val="24"/>
          <w:szCs w:val="24"/>
        </w:rPr>
        <w:t>Matsuhashi</w:t>
      </w:r>
      <w:proofErr w:type="spellEnd"/>
      <w:r w:rsidRPr="005665FF">
        <w:rPr>
          <w:rFonts w:ascii="Arial" w:eastAsia="Times New Roman" w:hAnsi="Arial" w:cs="Arial"/>
          <w:color w:val="000000"/>
          <w:sz w:val="24"/>
          <w:szCs w:val="24"/>
        </w:rPr>
        <w:t xml:space="preserve"> and Vo Tran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Bich</w:t>
      </w:r>
      <w:proofErr w:type="spellEnd"/>
      <w:r w:rsidRPr="005665FF">
        <w:rPr>
          <w:rFonts w:ascii="Arial" w:eastAsia="Times New Roman" w:hAnsi="Arial" w:cs="Arial"/>
          <w:color w:val="000000"/>
          <w:sz w:val="24"/>
          <w:szCs w:val="24"/>
        </w:rPr>
        <w:t xml:space="preserve"> Chau. Energy Procedia, 2019, volume 157, pp. 926-938.</w:t>
      </w:r>
    </w:p>
    <w:p w14:paraId="36CF2D0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44FF36D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Shrimp farming has been rising significantly not only around the world but also in Vietnam. The shrimp industry in the Mekong Delta, Vietnam makes a substantial contribution to national economy via exporting to foreign countries. Nevertheless, the shrimp aquaculture sector requires high energy for aeration systems to maintain suitable dissolved oxygen level in ponds continuously for improving water quality and promoting shrimp growth. The designs of mechanical aerators have been amended to save energy costs and increase oxygen transfer; moreover, their operation is optimized to reduce operational costs, and renewable energy has been recently started applying to power aerators to mitigate energy security and environmental impacts. However, electric motors driving aerators inherently consume a lot of power, leading to high operational costs and potential impacts from using conventional power resources. In order to attain economical production and reduce greenhouse gas emissions, the sustainable energy model for shrimp farms is proposed in this paper. The energy model exploits renewable energy to power the advanced aeration system for shrimp ponds, which might produce the onsite oxygen while the by-product hydrogen is stored and might be used to regenerate electricity to compensate imbalance when power load demand is higher than renewable power sources. The optimal design for renewable power resources according to the oxygen consumption of shrimp and the optimal operation of innovative aeration system based on the changes of dissolved oxygen at ponds are presented elaborately with the main objectives being economical and environmentally sustainable production for shrimp farms.</w:t>
      </w:r>
    </w:p>
    <w:p w14:paraId="0DE7B30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22EE6C0"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76785165" w14:textId="47E446DF" w:rsidR="005665FF" w:rsidRPr="005665FF" w:rsidRDefault="00B31078" w:rsidP="005665FF">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005665FF" w:rsidRPr="005665FF">
        <w:rPr>
          <w:rFonts w:ascii="Arial" w:eastAsia="Times New Roman" w:hAnsi="Arial" w:cs="Arial"/>
          <w:color w:val="000000"/>
          <w:sz w:val="24"/>
          <w:szCs w:val="24"/>
        </w:rPr>
        <w:t> </w:t>
      </w:r>
    </w:p>
    <w:p w14:paraId="00D793A5"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5" w:name="m_8873885906141426999__Toc2349020"/>
      <w:r w:rsidRPr="005665FF">
        <w:rPr>
          <w:rFonts w:ascii="Calibri" w:eastAsia="Times New Roman" w:hAnsi="Calibri" w:cs="Calibri"/>
          <w:b/>
          <w:bCs/>
          <w:color w:val="800000"/>
        </w:rPr>
        <w:t>Food Reserve Management and Policies in Southeast Asia.</w:t>
      </w:r>
      <w:bookmarkEnd w:id="15"/>
    </w:p>
    <w:p w14:paraId="6947CF7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Paul S. Teng and Bernice Anne C. </w:t>
      </w:r>
      <w:proofErr w:type="spellStart"/>
      <w:r w:rsidRPr="005665FF">
        <w:rPr>
          <w:rFonts w:ascii="Arial" w:eastAsia="Times New Roman" w:hAnsi="Arial" w:cs="Arial"/>
          <w:color w:val="000000"/>
          <w:sz w:val="24"/>
          <w:szCs w:val="24"/>
        </w:rPr>
        <w:t>Darvin</w:t>
      </w:r>
      <w:proofErr w:type="spellEnd"/>
      <w:r w:rsidRPr="005665FF">
        <w:rPr>
          <w:rFonts w:ascii="Arial" w:eastAsia="Times New Roman" w:hAnsi="Arial" w:cs="Arial"/>
          <w:color w:val="000000"/>
          <w:sz w:val="24"/>
          <w:szCs w:val="24"/>
        </w:rPr>
        <w:t>. SEARCA Policy Paper 2018-2, 2018.</w:t>
      </w:r>
    </w:p>
    <w:p w14:paraId="02EF271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9" w:tgtFrame="_blank" w:history="1">
        <w:r w:rsidRPr="005665FF">
          <w:rPr>
            <w:rFonts w:ascii="Arial" w:eastAsia="Times New Roman" w:hAnsi="Arial" w:cs="Arial"/>
            <w:color w:val="1155CC"/>
            <w:sz w:val="24"/>
            <w:szCs w:val="24"/>
            <w:u w:val="single"/>
          </w:rPr>
          <w:t>http://www.searca.org/knowledge-resources/1603-pre-download?pid=426</w:t>
        </w:r>
      </w:hyperlink>
      <w:r w:rsidRPr="005665FF">
        <w:rPr>
          <w:rFonts w:ascii="Arial" w:eastAsia="Times New Roman" w:hAnsi="Arial" w:cs="Arial"/>
          <w:color w:val="000000"/>
          <w:sz w:val="24"/>
          <w:szCs w:val="24"/>
        </w:rPr>
        <w:t>.</w:t>
      </w:r>
    </w:p>
    <w:p w14:paraId="2BBB129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2C4188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Food availability is an important dimension of a country’s food security. At the regional level, the latter requires a balance between food production and trade. In Southeast Asia, “rice security” is generally equated to food security. Hence, rice is a good starting point for analyzing food reserve management and policies in the region. For many millennia, public stockpiling has been a popular strategy adopted for mitigating instability in the food supply. Building up of reserves has been a common component of food policies around the world. This policy paper, which draws substantially from the findings of the research project “Food Reserves: A Comparative Study on Food Reserve Management and Policies in Southeast Asia,” compares the </w:t>
      </w:r>
      <w:r w:rsidRPr="005665FF">
        <w:rPr>
          <w:rFonts w:ascii="Arial" w:eastAsia="Times New Roman" w:hAnsi="Arial" w:cs="Arial"/>
          <w:color w:val="000000"/>
          <w:sz w:val="24"/>
          <w:szCs w:val="24"/>
        </w:rPr>
        <w:lastRenderedPageBreak/>
        <w:t>experiences and challenges in public food stockpiling of selected Southeast Asian countries, and provides actions and recommendations on how to make food stockpiling a viable strategy toward achieving food security at the national and regional levels.</w:t>
      </w:r>
    </w:p>
    <w:p w14:paraId="77EDA0F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245578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6" w:name="m_8873885906141426999__Toc2349021"/>
      <w:r w:rsidRPr="005665FF">
        <w:rPr>
          <w:rFonts w:ascii="Calibri" w:eastAsia="Times New Roman" w:hAnsi="Calibri" w:cs="Calibri"/>
          <w:b/>
          <w:bCs/>
          <w:color w:val="800000"/>
        </w:rPr>
        <w:t>Assessing Forest Governance in the Countries of the Greater Mekong Subregion.</w:t>
      </w:r>
      <w:bookmarkEnd w:id="16"/>
    </w:p>
    <w:p w14:paraId="693CE06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David </w:t>
      </w:r>
      <w:proofErr w:type="spellStart"/>
      <w:r w:rsidRPr="005665FF">
        <w:rPr>
          <w:rFonts w:ascii="Arial" w:eastAsia="Times New Roman" w:hAnsi="Arial" w:cs="Arial"/>
          <w:color w:val="000000"/>
          <w:sz w:val="24"/>
          <w:szCs w:val="24"/>
        </w:rPr>
        <w:t>Gritten</w:t>
      </w:r>
      <w:proofErr w:type="spellEnd"/>
      <w:r w:rsidRPr="005665FF">
        <w:rPr>
          <w:rFonts w:ascii="Arial" w:eastAsia="Times New Roman" w:hAnsi="Arial" w:cs="Arial"/>
          <w:color w:val="000000"/>
          <w:sz w:val="24"/>
          <w:szCs w:val="24"/>
        </w:rPr>
        <w:t xml:space="preserve">, Sophie Rose Lewis, Gijs </w:t>
      </w:r>
      <w:proofErr w:type="spellStart"/>
      <w:r w:rsidRPr="005665FF">
        <w:rPr>
          <w:rFonts w:ascii="Arial" w:eastAsia="Times New Roman" w:hAnsi="Arial" w:cs="Arial"/>
          <w:color w:val="000000"/>
          <w:sz w:val="24"/>
          <w:szCs w:val="24"/>
        </w:rPr>
        <w:t>Breukink</w:t>
      </w:r>
      <w:proofErr w:type="spellEnd"/>
      <w:r w:rsidRPr="005665FF">
        <w:rPr>
          <w:rFonts w:ascii="Arial" w:eastAsia="Times New Roman" w:hAnsi="Arial" w:cs="Arial"/>
          <w:color w:val="000000"/>
          <w:sz w:val="24"/>
          <w:szCs w:val="24"/>
        </w:rPr>
        <w:t xml:space="preserve">, Karen Mo, Dang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Thu Thuy and others. Forests, 2019, volume 10, number 1, p. 47.</w:t>
      </w:r>
    </w:p>
    <w:p w14:paraId="5F79354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10" w:tgtFrame="_blank" w:history="1">
        <w:r w:rsidRPr="005665FF">
          <w:rPr>
            <w:rFonts w:ascii="Arial" w:eastAsia="Times New Roman" w:hAnsi="Arial" w:cs="Arial"/>
            <w:color w:val="1155CC"/>
            <w:sz w:val="24"/>
            <w:szCs w:val="24"/>
            <w:u w:val="single"/>
          </w:rPr>
          <w:t>http://www.mdpi.com/1999-4907/10/1/47</w:t>
        </w:r>
      </w:hyperlink>
      <w:r w:rsidRPr="005665FF">
        <w:rPr>
          <w:rFonts w:ascii="Arial" w:eastAsia="Times New Roman" w:hAnsi="Arial" w:cs="Arial"/>
          <w:color w:val="000000"/>
          <w:sz w:val="24"/>
          <w:szCs w:val="24"/>
        </w:rPr>
        <w:t>.</w:t>
      </w:r>
    </w:p>
    <w:p w14:paraId="47FD62D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EC5DCF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The forest landscapes of the Greater Mekong Subregion (GMS) are changing dramatically, with a multitude of impacts from local to global levels. These changes invariably have their foundations in forest governance. The aim of this paper is to assess perceptions of key stakeholders regarding the state of forest governance in the countries of the GMS. The work is based on a quantitative and qualitative analysis of the perceptions of forest governance in the five GMS countries, involving 762 representatives from government, civil society, news media, and rural communities. The work identified many challenges to good forest governance in the countries in the region, as well as noting reasons for optimism. Generally speaking, there was a feeling that the policies, legislation, and institutional frameworks were supportive, but there are numerous challenges in terms of implementation, enforcement, and compliance. The work also presents a program of activities recommended by the research participants to address governance challenges and opportunities in the GMS countries. These include the development of a forest governance monitoring system, and initiatives that support informed decision-making by forest product consumers in the region as well as the implementation of a capacity development program for non-state actors (e.g., civil society, news media) to ensure they are more able to support the diverse, and often demanding, forest governance initiatives.</w:t>
      </w:r>
    </w:p>
    <w:p w14:paraId="67BA200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A6ABC6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hyperlink r:id="rId11" w:anchor="m_8873885906141426999__top" w:history="1">
        <w:r w:rsidRPr="005665FF">
          <w:rPr>
            <w:rFonts w:ascii="Arial" w:eastAsia="Times New Roman" w:hAnsi="Arial" w:cs="Arial"/>
            <w:color w:val="1155CC"/>
            <w:sz w:val="24"/>
            <w:szCs w:val="24"/>
            <w:u w:val="single"/>
          </w:rPr>
          <w:t>Back to top</w:t>
        </w:r>
      </w:hyperlink>
    </w:p>
    <w:p w14:paraId="1BC98BF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E0A4098"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7" w:name="m_8873885906141426999__Toc2349022"/>
      <w:r w:rsidRPr="005665FF">
        <w:rPr>
          <w:rFonts w:ascii="Calibri" w:eastAsia="Times New Roman" w:hAnsi="Calibri" w:cs="Calibri"/>
          <w:b/>
          <w:bCs/>
          <w:color w:val="800000"/>
        </w:rPr>
        <w:t>Linkages between timber processing companies and local forest communities: a case study in Vietnam.</w:t>
      </w:r>
      <w:bookmarkEnd w:id="17"/>
    </w:p>
    <w:p w14:paraId="0A5CC8D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Yen Do Hai, </w:t>
      </w:r>
      <w:proofErr w:type="spellStart"/>
      <w:r w:rsidRPr="005665FF">
        <w:rPr>
          <w:rFonts w:ascii="Arial" w:eastAsia="Times New Roman" w:hAnsi="Arial" w:cs="Arial"/>
          <w:color w:val="000000"/>
          <w:sz w:val="24"/>
          <w:szCs w:val="24"/>
        </w:rPr>
        <w:t>Alanya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Alaaddin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Keykubat</w:t>
      </w:r>
      <w:proofErr w:type="spellEnd"/>
      <w:r w:rsidRPr="005665FF">
        <w:rPr>
          <w:rFonts w:ascii="Arial" w:eastAsia="Times New Roman" w:hAnsi="Arial" w:cs="Arial"/>
          <w:color w:val="000000"/>
          <w:sz w:val="24"/>
          <w:szCs w:val="24"/>
        </w:rPr>
        <w:t xml:space="preserve"> University, </w:t>
      </w:r>
      <w:proofErr w:type="spellStart"/>
      <w:r w:rsidRPr="005665FF">
        <w:rPr>
          <w:rFonts w:ascii="Arial" w:eastAsia="Times New Roman" w:hAnsi="Arial" w:cs="Arial"/>
          <w:color w:val="000000"/>
          <w:sz w:val="24"/>
          <w:szCs w:val="24"/>
        </w:rPr>
        <w:t>Alanya</w:t>
      </w:r>
      <w:proofErr w:type="spellEnd"/>
      <w:r w:rsidRPr="005665FF">
        <w:rPr>
          <w:rFonts w:ascii="Arial" w:eastAsia="Times New Roman" w:hAnsi="Arial" w:cs="Arial"/>
          <w:color w:val="000000"/>
          <w:sz w:val="24"/>
          <w:szCs w:val="24"/>
        </w:rPr>
        <w:t>, 2018.</w:t>
      </w:r>
    </w:p>
    <w:p w14:paraId="249257E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D42B9F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xml:space="preserve">Abstract: The timber processing industry is currently increasing in Vietnam to meet the demand of wood products. Besides the involvement of companies, many small-scale farms have evolved in industrial plantation of forest. There are many types of economic linkages have been established between the private forest sector and local forest planters. However, the implementation of these economic integrations has not been effective so far because the connection between the wood companies and famers has shown weaknesses and the legality of the contracts is not high. Thus, in recent time, many wood processing facilities lack raw timber materials while the planters have to sell their wood at low prices when the harvest season comes. The people whose livelihood depends on the forest are still poor, the household economy in forestry shows many limitations and much fragmentation, and the effectiveness of forest plantations, harvesting, wood processing and forestry production have not been commensurate with the potential. The purpose of this study is to examine models of agreements between wood processing enterprises and local forest communities; </w:t>
      </w:r>
      <w:proofErr w:type="gramStart"/>
      <w:r w:rsidRPr="005665FF">
        <w:rPr>
          <w:rFonts w:ascii="Arial" w:eastAsia="Times New Roman" w:hAnsi="Arial" w:cs="Arial"/>
          <w:color w:val="000000"/>
          <w:sz w:val="24"/>
          <w:szCs w:val="24"/>
        </w:rPr>
        <w:t>also</w:t>
      </w:r>
      <w:proofErr w:type="gramEnd"/>
      <w:r w:rsidRPr="005665FF">
        <w:rPr>
          <w:rFonts w:ascii="Arial" w:eastAsia="Times New Roman" w:hAnsi="Arial" w:cs="Arial"/>
          <w:color w:val="000000"/>
          <w:sz w:val="24"/>
          <w:szCs w:val="24"/>
        </w:rPr>
        <w:t xml:space="preserve"> initially discussing the hypothesis of the main factors that make the implementation of the timber trade contracts </w:t>
      </w:r>
      <w:proofErr w:type="spellStart"/>
      <w:r w:rsidRPr="005665FF">
        <w:rPr>
          <w:rFonts w:ascii="Arial" w:eastAsia="Times New Roman" w:hAnsi="Arial" w:cs="Arial"/>
          <w:color w:val="000000"/>
          <w:sz w:val="24"/>
          <w:szCs w:val="24"/>
        </w:rPr>
        <w:t>becomming</w:t>
      </w:r>
      <w:proofErr w:type="spellEnd"/>
      <w:r w:rsidRPr="005665FF">
        <w:rPr>
          <w:rFonts w:ascii="Arial" w:eastAsia="Times New Roman" w:hAnsi="Arial" w:cs="Arial"/>
          <w:color w:val="000000"/>
          <w:sz w:val="24"/>
          <w:szCs w:val="24"/>
        </w:rPr>
        <w:t xml:space="preserve"> less effective. The </w:t>
      </w:r>
      <w:proofErr w:type="spellStart"/>
      <w:r w:rsidRPr="005665FF">
        <w:rPr>
          <w:rFonts w:ascii="Arial" w:eastAsia="Times New Roman" w:hAnsi="Arial" w:cs="Arial"/>
          <w:color w:val="000000"/>
          <w:sz w:val="24"/>
          <w:szCs w:val="24"/>
        </w:rPr>
        <w:t>papertry</w:t>
      </w:r>
      <w:proofErr w:type="spellEnd"/>
      <w:r w:rsidRPr="005665FF">
        <w:rPr>
          <w:rFonts w:ascii="Arial" w:eastAsia="Times New Roman" w:hAnsi="Arial" w:cs="Arial"/>
          <w:color w:val="000000"/>
          <w:sz w:val="24"/>
          <w:szCs w:val="24"/>
        </w:rPr>
        <w:t xml:space="preserve"> to find the policies recommendations and efficient solutions for developing the agreements between timber processing companies and local forest communities. The study is a part of growing the body on the research on linkages in timber production and marketing. By finding the weaknesses of the timber trade agreements, this study will contribute to future </w:t>
      </w:r>
      <w:proofErr w:type="spellStart"/>
      <w:r w:rsidRPr="005665FF">
        <w:rPr>
          <w:rFonts w:ascii="Arial" w:eastAsia="Times New Roman" w:hAnsi="Arial" w:cs="Arial"/>
          <w:color w:val="000000"/>
          <w:sz w:val="24"/>
          <w:szCs w:val="24"/>
        </w:rPr>
        <w:t>researchs</w:t>
      </w:r>
      <w:proofErr w:type="spellEnd"/>
      <w:r w:rsidRPr="005665FF">
        <w:rPr>
          <w:rFonts w:ascii="Arial" w:eastAsia="Times New Roman" w:hAnsi="Arial" w:cs="Arial"/>
          <w:color w:val="000000"/>
          <w:sz w:val="24"/>
          <w:szCs w:val="24"/>
        </w:rPr>
        <w:t xml:space="preserve"> on relate topics.</w:t>
      </w:r>
    </w:p>
    <w:p w14:paraId="23E5276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92558C3"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8" w:name="m_8873885906141426999__Toc2349023"/>
      <w:r w:rsidRPr="005665FF">
        <w:rPr>
          <w:rFonts w:ascii="Calibri" w:eastAsia="Times New Roman" w:hAnsi="Calibri" w:cs="Calibri"/>
          <w:b/>
          <w:bCs/>
          <w:color w:val="800000"/>
        </w:rPr>
        <w:t>Opportunities and challenges in mobilizing finance to implement Vietnam’s Forestry Development Strategy for 2006–2020.</w:t>
      </w:r>
      <w:bookmarkEnd w:id="18"/>
    </w:p>
    <w:p w14:paraId="18CAE91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Pham Thu Thuy, Dao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Linh Chi, Hoang Tuan Long, Bui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Minh Nguyet, Pham Hong Luong and others. CIFOR Occasional Paper 190, 2018.</w:t>
      </w:r>
    </w:p>
    <w:p w14:paraId="3B5DC0D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12" w:tgtFrame="_blank" w:history="1">
        <w:r w:rsidRPr="005665FF">
          <w:rPr>
            <w:rFonts w:ascii="Arial" w:eastAsia="Times New Roman" w:hAnsi="Arial" w:cs="Arial"/>
            <w:color w:val="1155CC"/>
            <w:sz w:val="24"/>
            <w:szCs w:val="24"/>
            <w:u w:val="single"/>
          </w:rPr>
          <w:t>https://www.cifor.org/library/7081/</w:t>
        </w:r>
      </w:hyperlink>
      <w:r w:rsidRPr="005665FF">
        <w:rPr>
          <w:rFonts w:ascii="Arial" w:eastAsia="Times New Roman" w:hAnsi="Arial" w:cs="Arial"/>
          <w:color w:val="000000"/>
          <w:sz w:val="24"/>
          <w:szCs w:val="24"/>
        </w:rPr>
        <w:t>.</w:t>
      </w:r>
    </w:p>
    <w:p w14:paraId="16BB167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25A062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CIFOR Occasional Paper assessed opportunities and challenges in mobilizing finance to implement the Vietnam Forestry Development Strategy (VFDS) for 2006-2020. After 10 years of VFDS implementation, the forestry sector has witnessed many achievements contributing to the development of the country. However, financial mobilization for implementation of the VFDS has always been limited. </w:t>
      </w:r>
      <w:proofErr w:type="gramStart"/>
      <w:r w:rsidRPr="005665FF">
        <w:rPr>
          <w:rFonts w:ascii="Arial" w:eastAsia="Times New Roman" w:hAnsi="Arial" w:cs="Arial"/>
          <w:color w:val="000000"/>
          <w:sz w:val="24"/>
          <w:szCs w:val="24"/>
        </w:rPr>
        <w:t>---  Investment</w:t>
      </w:r>
      <w:proofErr w:type="gramEnd"/>
      <w:r w:rsidRPr="005665FF">
        <w:rPr>
          <w:rFonts w:ascii="Arial" w:eastAsia="Times New Roman" w:hAnsi="Arial" w:cs="Arial"/>
          <w:color w:val="000000"/>
          <w:sz w:val="24"/>
          <w:szCs w:val="24"/>
        </w:rPr>
        <w:t xml:space="preserve"> into forest protection and development, especially for special use forests and protected forests, has to date been minimal, with state allocations insufficient to meet requirements. The potential contribution of the forestry sector in increasing national GDP has not been fully recognized by policymakers and therefore has not yet been maximized. In addition, no data have yet been collected and analyzed on forestry finance and nor have the opportunities and challenges for mobilizing financial resources for the forestry sector in Vietnam. This research was thus conducted to assess the current situation, analyzing both the opportunities and challenges of financial </w:t>
      </w:r>
      <w:r w:rsidRPr="005665FF">
        <w:rPr>
          <w:rFonts w:ascii="Arial" w:eastAsia="Times New Roman" w:hAnsi="Arial" w:cs="Arial"/>
          <w:color w:val="000000"/>
          <w:sz w:val="24"/>
          <w:szCs w:val="24"/>
        </w:rPr>
        <w:lastRenderedPageBreak/>
        <w:t>mobilization, both for implementation of the strategy as well as for forestry sector investment. --- Funding for VFDS already stems from ODA, FDI and the private sector. Payment for Forest Environmental Services (PFES) is a new financial incentive mechanism that provides incentives for forest users to better protect and develop forests, where investments from communities, individuals and enterprises are the main contributors responsible for increases in the budget from non-state sources. --- A transparent and accountable forestry finance system will help policymakers by improving financial planning for the forestry sector, as well as targeting financial resources for greater returns. Finding new sources of finance to complement existing ones is essential. The forestry sector also needs to continue to improve its legal mechanisms and policies and create a favorable legal environment to mobilize the maximum possible financial resources for forest protection and development.</w:t>
      </w:r>
    </w:p>
    <w:p w14:paraId="72AB237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18F766F"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2A7B8A02" w14:textId="47BF318D"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606A2E3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47AE1D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9" w:name="m_8873885906141426999__Toc2349024"/>
      <w:r w:rsidRPr="005665FF">
        <w:rPr>
          <w:rFonts w:ascii="Calibri" w:eastAsia="Times New Roman" w:hAnsi="Calibri" w:cs="Calibri"/>
          <w:b/>
          <w:bCs/>
          <w:color w:val="800000"/>
        </w:rPr>
        <w:t>State of Forest Governance in Vietnam: Where Are the Local Communities?</w:t>
      </w:r>
      <w:bookmarkEnd w:id="19"/>
    </w:p>
    <w:p w14:paraId="5937FA3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Mucahid</w:t>
      </w:r>
      <w:proofErr w:type="spellEnd"/>
      <w:r w:rsidRPr="005665FF">
        <w:rPr>
          <w:rFonts w:ascii="Arial" w:eastAsia="Times New Roman" w:hAnsi="Arial" w:cs="Arial"/>
          <w:color w:val="000000"/>
          <w:sz w:val="24"/>
          <w:szCs w:val="24"/>
        </w:rPr>
        <w:t xml:space="preserve"> Mustafa </w:t>
      </w:r>
      <w:proofErr w:type="spellStart"/>
      <w:r w:rsidRPr="005665FF">
        <w:rPr>
          <w:rFonts w:ascii="Arial" w:eastAsia="Times New Roman" w:hAnsi="Arial" w:cs="Arial"/>
          <w:color w:val="000000"/>
          <w:sz w:val="24"/>
          <w:szCs w:val="24"/>
        </w:rPr>
        <w:t>Bayrak</w:t>
      </w:r>
      <w:proofErr w:type="spellEnd"/>
      <w:r w:rsidRPr="005665FF">
        <w:rPr>
          <w:rFonts w:ascii="Arial" w:eastAsia="Times New Roman" w:hAnsi="Arial" w:cs="Arial"/>
          <w:color w:val="000000"/>
          <w:sz w:val="24"/>
          <w:szCs w:val="24"/>
        </w:rPr>
        <w:t>. in: Population, Development, and the Environment: Challenges to Achieving the Sustainable Development Goals in the Asia Pacific, Springer Singapore, Singapore, 2019, pp. 273-295.</w:t>
      </w:r>
    </w:p>
    <w:p w14:paraId="5386A70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FC3C23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For the past 20 years, Vietnam has taken up the enormous challenge of decentralizing its forest governance and management. The government assumed that by involving local communities in forest management, Vietnam’s forest resources would be better conserved while local livelihoods would be improved, such as through the allocation of forestland or the introduction of agroforestry. Vietnam’s forest governance shifted from top-down forest exploitation by state forest enterprises in the 1970s to forestland allocation to households in the 1990s and to the introduction of community forestry in the 2000s. Vietnam has been championed by the international community for its social forestry approach, which successfully halted deforestation in the nation. Forest and tree cover have significantly increased from 9.3 million hectares (ha) in 1995 to 13.4 million ha in 2010. However, while this achievement is impressive, the roles and decision-making powers of local communities in forest governance remain unclear. Households and communities do not legally own allocated forestland, and it is still the state which stipulates how forests are managed. This chapter adopts a macro-level approach to forest governance in Vietnam. To what extent do communities have the ability to exercise decision-making power over their forests? In this chapter I argue that forestland allocation to communities has a mainly positive symbolic meaning for the </w:t>
      </w:r>
      <w:r w:rsidRPr="005665FF">
        <w:rPr>
          <w:rFonts w:ascii="Arial" w:eastAsia="Times New Roman" w:hAnsi="Arial" w:cs="Arial"/>
          <w:color w:val="000000"/>
          <w:sz w:val="24"/>
          <w:szCs w:val="24"/>
        </w:rPr>
        <w:lastRenderedPageBreak/>
        <w:t>involved communities, but that in the formal decision-making process they only play a marginal role.</w:t>
      </w:r>
    </w:p>
    <w:p w14:paraId="43FDA02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3F6B82F"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20" w:name="m_8873885906141426999__Toc2349025"/>
      <w:r w:rsidRPr="005665FF">
        <w:rPr>
          <w:rFonts w:ascii="Calibri" w:eastAsia="Times New Roman" w:hAnsi="Calibri" w:cs="Calibri"/>
          <w:b/>
          <w:bCs/>
          <w:color w:val="800000"/>
        </w:rPr>
        <w:t>Adaptation to flood and salinity environments in the Vietnamese Mekong Delta: Empirical analysis of farmer-led innovations.</w:t>
      </w:r>
      <w:bookmarkEnd w:id="20"/>
    </w:p>
    <w:p w14:paraId="5B04DB1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Thong Anh Tran, Tri </w:t>
      </w:r>
      <w:proofErr w:type="spellStart"/>
      <w:r w:rsidRPr="005665FF">
        <w:rPr>
          <w:rFonts w:ascii="Arial" w:eastAsia="Times New Roman" w:hAnsi="Arial" w:cs="Arial"/>
          <w:color w:val="000000"/>
          <w:sz w:val="24"/>
          <w:szCs w:val="24"/>
        </w:rPr>
        <w:t>Huu</w:t>
      </w:r>
      <w:proofErr w:type="spellEnd"/>
      <w:r w:rsidRPr="005665FF">
        <w:rPr>
          <w:rFonts w:ascii="Arial" w:eastAsia="Times New Roman" w:hAnsi="Arial" w:cs="Arial"/>
          <w:color w:val="000000"/>
          <w:sz w:val="24"/>
          <w:szCs w:val="24"/>
        </w:rPr>
        <w:t xml:space="preserve"> Nguyen and Thang Tat Vo. Agricultural Water Management, 2019, volume 216, pp. 89-97.</w:t>
      </w:r>
    </w:p>
    <w:p w14:paraId="64569AB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97A144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Agriculture is exposed to climatic impacts, especially in developing countries. Adaptation is the predominant practice that farming communities undertake to deal with these climate-induced challenges. While significant attention has been devoted to farmers’ adaptation strategies, little is known about how innovative practices are associated with the improvement of rural livelihoods. To address this gap, the paper attempts to investigate how farmers lead the process of rural innovations that constitute successful forms of adaptation to address the mixed impacts of dyke policies and climate change in two distinct </w:t>
      </w:r>
      <w:proofErr w:type="spellStart"/>
      <w:r w:rsidRPr="005665FF">
        <w:rPr>
          <w:rFonts w:ascii="Arial" w:eastAsia="Times New Roman" w:hAnsi="Arial" w:cs="Arial"/>
          <w:color w:val="000000"/>
          <w:sz w:val="24"/>
          <w:szCs w:val="24"/>
        </w:rPr>
        <w:t>agro</w:t>
      </w:r>
      <w:proofErr w:type="spellEnd"/>
      <w:r w:rsidRPr="005665FF">
        <w:rPr>
          <w:rFonts w:ascii="Arial" w:eastAsia="Times New Roman" w:hAnsi="Arial" w:cs="Arial"/>
          <w:color w:val="000000"/>
          <w:sz w:val="24"/>
          <w:szCs w:val="24"/>
        </w:rPr>
        <w:t>-ecological zones (i.e. flooding and salinity) in the Vietnamese Mekong Delta (VMD). Drawing on qualitative information collected from focus group discussions and interviews across the case studies, the paper argues that farmers are the key innovation actors who contribute to improving rural farming and water management practices. The study suggests that the evolution of farmer-led innovations is mainly attributed to the operation of various informal learning networks that provide important platforms for the generation and diffusion of effective innovative practices across farming communities. It also highlights how farmers contribute their innovative knowledge to local adaptation policies. From the policy perspective, this study sees the development of rural innovation systems as the best practices of farmers’ adaptation, which needs to be scaled out to better support agricultural water management in the delta. [Thong-etal-2019.pdf].</w:t>
      </w:r>
    </w:p>
    <w:p w14:paraId="0B68D1A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2EC86D4"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4F4059D9" w14:textId="76FD6475"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72C3B3A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8D09F28"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21" w:name="m_8873885906141426999__Toc2349026"/>
      <w:r w:rsidRPr="005665FF">
        <w:rPr>
          <w:rFonts w:ascii="Calibri" w:eastAsia="Times New Roman" w:hAnsi="Calibri" w:cs="Calibri"/>
          <w:b/>
          <w:bCs/>
          <w:color w:val="800000"/>
        </w:rPr>
        <w:t>Land loss and its impacts on agricultural production in the Vietnamese Mekong Delta under climate change.</w:t>
      </w:r>
      <w:bookmarkEnd w:id="21"/>
    </w:p>
    <w:p w14:paraId="56769B1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P. V. V. Le, H. V. Pham, A. P. Tran and C. V. Pham. abstract #H21H-1725 Fall Meeting 2018 American Geophysical Union, 2018.</w:t>
      </w:r>
    </w:p>
    <w:p w14:paraId="1F27DDB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77105E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Abstract: The Vietnamese Mekong Delta (VMD), home to nearly 20 million people, is the most important crop and inland fishery production region in Vietnam. The delta is farmed intensively with paddy rice and contributes about 50% of Vietnam's rice production in 2015. Nevertheless, the VMD is under threat from a combination of rising sea level, land surface subsidence due to groundwater depletion and anthropogenic upstream sediment trapping. This threat is likely to accelerate massive loss of arable land for agriculture and make the VMD one of the most at-risk and vulnerable regions on Earth under global warming. Here, we present a novel, integrated framework using remote sensing and modelling techniques to investigate land loss in the VMD under climate change. Specifically, we link land subsidence estimated using Differential Synthetic Aperture Radar Interferometry (</w:t>
      </w:r>
      <w:proofErr w:type="spellStart"/>
      <w:r w:rsidRPr="005665FF">
        <w:rPr>
          <w:rFonts w:ascii="Arial" w:eastAsia="Times New Roman" w:hAnsi="Arial" w:cs="Arial"/>
          <w:color w:val="000000"/>
          <w:sz w:val="24"/>
          <w:szCs w:val="24"/>
        </w:rPr>
        <w:t>DInSAR</w:t>
      </w:r>
      <w:proofErr w:type="spellEnd"/>
      <w:r w:rsidRPr="005665FF">
        <w:rPr>
          <w:rFonts w:ascii="Arial" w:eastAsia="Times New Roman" w:hAnsi="Arial" w:cs="Arial"/>
          <w:color w:val="000000"/>
          <w:sz w:val="24"/>
          <w:szCs w:val="24"/>
        </w:rPr>
        <w:t>) method with sea level rise to model salinity intrusion and evaluate their impacts on a major crop production, particularly paddy rice. The results of this study will support both policy makers and local people to maintain sustainable development in agriculture under global warming.</w:t>
      </w:r>
    </w:p>
    <w:p w14:paraId="25FC3BA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88902C7"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22" w:name="m_8873885906141426999__Toc2349027"/>
      <w:r w:rsidRPr="005665FF">
        <w:rPr>
          <w:rFonts w:ascii="Calibri" w:eastAsia="Times New Roman" w:hAnsi="Calibri" w:cs="Calibri"/>
          <w:b/>
          <w:bCs/>
          <w:color w:val="800000"/>
        </w:rPr>
        <w:t>The policy effect of government assistance on the rice production in Southeast Asia: Comparative case studies of Thailand, Vietnam, and the Philippines.</w:t>
      </w:r>
      <w:bookmarkEnd w:id="22"/>
    </w:p>
    <w:p w14:paraId="1B3C845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Thanapan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Laiprakobsup</w:t>
      </w:r>
      <w:proofErr w:type="spellEnd"/>
      <w:r w:rsidRPr="005665FF">
        <w:rPr>
          <w:rFonts w:ascii="Arial" w:eastAsia="Times New Roman" w:hAnsi="Arial" w:cs="Arial"/>
          <w:color w:val="000000"/>
          <w:sz w:val="24"/>
          <w:szCs w:val="24"/>
        </w:rPr>
        <w:t>. Development Studies Research, 2019, volume 6, number 1, pp. 1-12.</w:t>
      </w:r>
    </w:p>
    <w:p w14:paraId="7BAD63E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13" w:tgtFrame="_blank" w:history="1">
        <w:r w:rsidRPr="005665FF">
          <w:rPr>
            <w:rFonts w:ascii="Arial" w:eastAsia="Times New Roman" w:hAnsi="Arial" w:cs="Arial"/>
            <w:color w:val="1155CC"/>
            <w:sz w:val="24"/>
            <w:szCs w:val="24"/>
            <w:u w:val="single"/>
          </w:rPr>
          <w:t>https://doi.org/10.1080/21665095.2019.1568900</w:t>
        </w:r>
      </w:hyperlink>
      <w:r w:rsidRPr="005665FF">
        <w:rPr>
          <w:rFonts w:ascii="Arial" w:eastAsia="Times New Roman" w:hAnsi="Arial" w:cs="Arial"/>
          <w:color w:val="000000"/>
          <w:sz w:val="24"/>
          <w:szCs w:val="24"/>
        </w:rPr>
        <w:t>.</w:t>
      </w:r>
    </w:p>
    <w:p w14:paraId="45DE898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54E0BF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Government in Southeast Asia plays a crucial role in the rice sector. It intervenes in rice production in order to increase the </w:t>
      </w:r>
      <w:proofErr w:type="spellStart"/>
      <w:proofErr w:type="gramStart"/>
      <w:r w:rsidRPr="005665FF">
        <w:rPr>
          <w:rFonts w:ascii="Arial" w:eastAsia="Times New Roman" w:hAnsi="Arial" w:cs="Arial"/>
          <w:color w:val="000000"/>
          <w:sz w:val="24"/>
          <w:szCs w:val="24"/>
        </w:rPr>
        <w:t>country?s</w:t>
      </w:r>
      <w:proofErr w:type="spellEnd"/>
      <w:proofErr w:type="gramEnd"/>
      <w:r w:rsidRPr="005665FF">
        <w:rPr>
          <w:rFonts w:ascii="Arial" w:eastAsia="Times New Roman" w:hAnsi="Arial" w:cs="Arial"/>
          <w:color w:val="000000"/>
          <w:sz w:val="24"/>
          <w:szCs w:val="24"/>
        </w:rPr>
        <w:t xml:space="preserve"> production and to achieve self-sufficiency in rice production. How does the </w:t>
      </w:r>
      <w:proofErr w:type="spellStart"/>
      <w:proofErr w:type="gramStart"/>
      <w:r w:rsidRPr="005665FF">
        <w:rPr>
          <w:rFonts w:ascii="Arial" w:eastAsia="Times New Roman" w:hAnsi="Arial" w:cs="Arial"/>
          <w:color w:val="000000"/>
          <w:sz w:val="24"/>
          <w:szCs w:val="24"/>
        </w:rPr>
        <w:t>government?s</w:t>
      </w:r>
      <w:proofErr w:type="spellEnd"/>
      <w:proofErr w:type="gramEnd"/>
      <w:r w:rsidRPr="005665FF">
        <w:rPr>
          <w:rFonts w:ascii="Arial" w:eastAsia="Times New Roman" w:hAnsi="Arial" w:cs="Arial"/>
          <w:color w:val="000000"/>
          <w:sz w:val="24"/>
          <w:szCs w:val="24"/>
        </w:rPr>
        <w:t xml:space="preserve"> policy affect rice production? This paper examines the policy effect of government assistance on rice production in Southeast Asian countries and it argues that the less likely government is to impose tax barriers on the rice sector and to control prices, the more likely is rice production to increase. Studying the relation between rice policy and rice production in Southeast Asia, the paper finds that a decline in the </w:t>
      </w:r>
      <w:proofErr w:type="spellStart"/>
      <w:proofErr w:type="gramStart"/>
      <w:r w:rsidRPr="005665FF">
        <w:rPr>
          <w:rFonts w:ascii="Arial" w:eastAsia="Times New Roman" w:hAnsi="Arial" w:cs="Arial"/>
          <w:color w:val="000000"/>
          <w:sz w:val="24"/>
          <w:szCs w:val="24"/>
        </w:rPr>
        <w:t>state?s</w:t>
      </w:r>
      <w:proofErr w:type="spellEnd"/>
      <w:proofErr w:type="gramEnd"/>
      <w:r w:rsidRPr="005665FF">
        <w:rPr>
          <w:rFonts w:ascii="Arial" w:eastAsia="Times New Roman" w:hAnsi="Arial" w:cs="Arial"/>
          <w:color w:val="000000"/>
          <w:sz w:val="24"/>
          <w:szCs w:val="24"/>
        </w:rPr>
        <w:t xml:space="preserve"> tax intervention in the rice sector helps to increase rice production in both rice exporting and importing countries. In addition, the results show that political liberalization leads to an increase in rice production. Therefore, a reduction in tax barriers and the abandonment of the </w:t>
      </w:r>
      <w:proofErr w:type="spellStart"/>
      <w:proofErr w:type="gramStart"/>
      <w:r w:rsidRPr="005665FF">
        <w:rPr>
          <w:rFonts w:ascii="Arial" w:eastAsia="Times New Roman" w:hAnsi="Arial" w:cs="Arial"/>
          <w:color w:val="000000"/>
          <w:sz w:val="24"/>
          <w:szCs w:val="24"/>
        </w:rPr>
        <w:t>state?s</w:t>
      </w:r>
      <w:proofErr w:type="spellEnd"/>
      <w:proofErr w:type="gramEnd"/>
      <w:r w:rsidRPr="005665FF">
        <w:rPr>
          <w:rFonts w:ascii="Arial" w:eastAsia="Times New Roman" w:hAnsi="Arial" w:cs="Arial"/>
          <w:color w:val="000000"/>
          <w:sz w:val="24"/>
          <w:szCs w:val="24"/>
        </w:rPr>
        <w:t xml:space="preserve"> price control are state policies that encourage rice production in the long run.</w:t>
      </w:r>
    </w:p>
    <w:p w14:paraId="1E2E682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55ECDC6"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23" w:name="m_8873885906141426999__Toc2349028"/>
      <w:r w:rsidRPr="005665FF">
        <w:rPr>
          <w:rFonts w:ascii="Calibri" w:eastAsia="Times New Roman" w:hAnsi="Calibri" w:cs="Calibri"/>
          <w:b/>
          <w:bCs/>
          <w:color w:val="800000"/>
        </w:rPr>
        <w:t>The Rice Economy and the Role of Policy in Southeast Asia.</w:t>
      </w:r>
      <w:bookmarkEnd w:id="23"/>
    </w:p>
    <w:p w14:paraId="51091FD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Roehlano</w:t>
      </w:r>
      <w:proofErr w:type="spellEnd"/>
      <w:r w:rsidRPr="005665FF">
        <w:rPr>
          <w:rFonts w:ascii="Arial" w:eastAsia="Times New Roman" w:hAnsi="Arial" w:cs="Arial"/>
          <w:color w:val="000000"/>
          <w:sz w:val="24"/>
          <w:szCs w:val="24"/>
        </w:rPr>
        <w:t xml:space="preserve"> M. Briones. SEARCA Discussion Paper Series Vol. 2017 No. 3, 2018.</w:t>
      </w:r>
    </w:p>
    <w:p w14:paraId="6616443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14" w:tgtFrame="_blank" w:history="1">
        <w:r w:rsidRPr="005665FF">
          <w:rPr>
            <w:rFonts w:ascii="Arial" w:eastAsia="Times New Roman" w:hAnsi="Arial" w:cs="Arial"/>
            <w:color w:val="1155CC"/>
            <w:sz w:val="24"/>
            <w:szCs w:val="24"/>
            <w:u w:val="single"/>
          </w:rPr>
          <w:t>http://www.searca.org/knowledge-resources/1603-pre-download?pid=398</w:t>
        </w:r>
      </w:hyperlink>
      <w:r w:rsidRPr="005665FF">
        <w:rPr>
          <w:rFonts w:ascii="Arial" w:eastAsia="Times New Roman" w:hAnsi="Arial" w:cs="Arial"/>
          <w:color w:val="000000"/>
          <w:sz w:val="24"/>
          <w:szCs w:val="24"/>
        </w:rPr>
        <w:t>.</w:t>
      </w:r>
    </w:p>
    <w:p w14:paraId="7F43705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593946D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Rice is the key staple of Southeast Asia (SEA), as well as one of its most widely grown crops. The region includes some of the largest rice producers in the world, together with two of the top three exporters (Thailand and Vietnam), and two of the world's top importers (Indonesia and the Philippines). The region has gained prominence as an early adopter of key production innovations, such as modern inbred varieties and hybrid rice. --- Policy is a key driver of the rice economy, alongside market forces, technology, and the environment. Production support policies, such as public investments in irrigation, the extension bureaucracy, as well as credit and input subsidies, were instrumental in the spread of modern rice varieties. Up to now, rice commands the most public resources in SEA compared with any other crop. Governments have also intervened actively in rice markets, invoking the key role of rice in food security and livelihoods. --- On the other hand, the region is also active in the promotion of regional economic integration, spearheaded by the Association of Southeast Asian Nations (ASEAN). Its </w:t>
      </w:r>
      <w:proofErr w:type="gramStart"/>
      <w:r w:rsidRPr="005665FF">
        <w:rPr>
          <w:rFonts w:ascii="Arial" w:eastAsia="Times New Roman" w:hAnsi="Arial" w:cs="Arial"/>
          <w:color w:val="000000"/>
          <w:sz w:val="24"/>
          <w:szCs w:val="24"/>
        </w:rPr>
        <w:t>10 member</w:t>
      </w:r>
      <w:proofErr w:type="gramEnd"/>
      <w:r w:rsidRPr="005665FF">
        <w:rPr>
          <w:rFonts w:ascii="Arial" w:eastAsia="Times New Roman" w:hAnsi="Arial" w:cs="Arial"/>
          <w:color w:val="000000"/>
          <w:sz w:val="24"/>
          <w:szCs w:val="24"/>
        </w:rPr>
        <w:t xml:space="preserve"> states: Brunei Darussalam, Cambodia, Indonesia, Lao People's Democratic Republic, Myanmar, Malaysia, the Philippines, Singapore, Thailand, and Vietnam, cover all the independent territories of SEA, except for Timor-Leste. --- This background paper for the Rice Policy Roundtable takes a timely look at rice policies in SEA to offer guidance for policymakers and other stakeholders under current and future market realities. It focuses on developing economies in the region, namely, the CLMV countries (Cambodia, Lao PDR, Myanmar, and Vietnam), and the ASEAN-4 (Indonesia, Malaysia, the Philippines, and Thailand). --- The objectives of the Roundtable were: (</w:t>
      </w:r>
      <w:proofErr w:type="spellStart"/>
      <w:r w:rsidRPr="005665FF">
        <w:rPr>
          <w:rFonts w:ascii="Arial" w:eastAsia="Times New Roman" w:hAnsi="Arial" w:cs="Arial"/>
          <w:color w:val="000000"/>
          <w:sz w:val="24"/>
          <w:szCs w:val="24"/>
        </w:rPr>
        <w:t>i</w:t>
      </w:r>
      <w:proofErr w:type="spellEnd"/>
      <w:r w:rsidRPr="005665FF">
        <w:rPr>
          <w:rFonts w:ascii="Arial" w:eastAsia="Times New Roman" w:hAnsi="Arial" w:cs="Arial"/>
          <w:color w:val="000000"/>
          <w:sz w:val="24"/>
          <w:szCs w:val="24"/>
        </w:rPr>
        <w:t xml:space="preserve">) To examine rice policies across the countries in SEA; (ii) To abstract lessons from the country experiences; (iii) To understand knowledge gaps, and where appropriate, list activities such as research and knowledge management that could be undertaken per country or across the region; and (iv) To craft possible policy inputs to be presented to governments, </w:t>
      </w:r>
      <w:proofErr w:type="gramStart"/>
      <w:r w:rsidRPr="005665FF">
        <w:rPr>
          <w:rFonts w:ascii="Arial" w:eastAsia="Times New Roman" w:hAnsi="Arial" w:cs="Arial"/>
          <w:color w:val="000000"/>
          <w:sz w:val="24"/>
          <w:szCs w:val="24"/>
        </w:rPr>
        <w:t>particularly  the</w:t>
      </w:r>
      <w:proofErr w:type="gramEnd"/>
      <w:r w:rsidRPr="005665FF">
        <w:rPr>
          <w:rFonts w:ascii="Arial" w:eastAsia="Times New Roman" w:hAnsi="Arial" w:cs="Arial"/>
          <w:color w:val="000000"/>
          <w:sz w:val="24"/>
          <w:szCs w:val="24"/>
        </w:rPr>
        <w:t xml:space="preserve"> Philippines. --- The remainder of this background paper is organized as follows: Section 2 provides a background on Southeast Asian rice economies by examining </w:t>
      </w:r>
      <w:proofErr w:type="spellStart"/>
      <w:r w:rsidRPr="005665FF">
        <w:rPr>
          <w:rFonts w:ascii="Arial" w:eastAsia="Times New Roman" w:hAnsi="Arial" w:cs="Arial"/>
          <w:color w:val="000000"/>
          <w:sz w:val="24"/>
          <w:szCs w:val="24"/>
        </w:rPr>
        <w:t>longterm</w:t>
      </w:r>
      <w:proofErr w:type="spellEnd"/>
      <w:r w:rsidRPr="005665FF">
        <w:rPr>
          <w:rFonts w:ascii="Arial" w:eastAsia="Times New Roman" w:hAnsi="Arial" w:cs="Arial"/>
          <w:color w:val="000000"/>
          <w:sz w:val="24"/>
          <w:szCs w:val="24"/>
        </w:rPr>
        <w:t xml:space="preserve"> trends and outlook on the future of the rice economy; Section 3 presents the various policy regimes for rice in developing SEA; Section 4 provides a synthesis and critical assessment of these policies; and Section 5 concludes and identifies knowledge gaps as a guide to future policy research.</w:t>
      </w:r>
    </w:p>
    <w:p w14:paraId="0560925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F5A9C6B"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64DA9EFE" w14:textId="622F8438"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3212677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71911DC"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24" w:name="m_8873885906141426999__Toc2349029"/>
      <w:r w:rsidRPr="005665FF">
        <w:rPr>
          <w:rFonts w:ascii="Calibri" w:eastAsia="Times New Roman" w:hAnsi="Calibri" w:cs="Calibri"/>
          <w:b/>
          <w:bCs/>
          <w:color w:val="800000"/>
        </w:rPr>
        <w:t xml:space="preserve">Conservation and Development of the Floating Rice Based </w:t>
      </w:r>
      <w:proofErr w:type="spellStart"/>
      <w:r w:rsidRPr="005665FF">
        <w:rPr>
          <w:rFonts w:ascii="Calibri" w:eastAsia="Times New Roman" w:hAnsi="Calibri" w:cs="Calibri"/>
          <w:b/>
          <w:bCs/>
          <w:color w:val="800000"/>
        </w:rPr>
        <w:t>Agro</w:t>
      </w:r>
      <w:proofErr w:type="spellEnd"/>
      <w:r w:rsidRPr="005665FF">
        <w:rPr>
          <w:rFonts w:ascii="Calibri" w:eastAsia="Times New Roman" w:hAnsi="Calibri" w:cs="Calibri"/>
          <w:b/>
          <w:bCs/>
          <w:color w:val="800000"/>
        </w:rPr>
        <w:t>-Ecological Farming Systems in the Mekong Delta.</w:t>
      </w:r>
      <w:bookmarkEnd w:id="24"/>
    </w:p>
    <w:p w14:paraId="67CEEA8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Nguyen Van </w:t>
      </w:r>
      <w:proofErr w:type="spellStart"/>
      <w:r w:rsidRPr="005665FF">
        <w:rPr>
          <w:rFonts w:ascii="Arial" w:eastAsia="Times New Roman" w:hAnsi="Arial" w:cs="Arial"/>
          <w:color w:val="000000"/>
          <w:sz w:val="24"/>
          <w:szCs w:val="24"/>
        </w:rPr>
        <w:t>Kien</w:t>
      </w:r>
      <w:proofErr w:type="spellEnd"/>
      <w:r w:rsidRPr="005665FF">
        <w:rPr>
          <w:rFonts w:ascii="Arial" w:eastAsia="Times New Roman" w:hAnsi="Arial" w:cs="Arial"/>
          <w:color w:val="000000"/>
          <w:sz w:val="24"/>
          <w:szCs w:val="24"/>
        </w:rPr>
        <w:t xml:space="preserve"> and Charles Howie. Agricultural Publishing House, 2018.</w:t>
      </w:r>
    </w:p>
    <w:p w14:paraId="0808336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Free full text </w:t>
      </w:r>
      <w:hyperlink r:id="rId15" w:tgtFrame="_blank" w:history="1">
        <w:r w:rsidRPr="005665FF">
          <w:rPr>
            <w:rFonts w:ascii="Arial" w:eastAsia="Times New Roman" w:hAnsi="Arial" w:cs="Arial"/>
            <w:color w:val="1155CC"/>
            <w:sz w:val="24"/>
            <w:szCs w:val="24"/>
            <w:u w:val="single"/>
          </w:rPr>
          <w:t>https://www.researchgate.net</w:t>
        </w:r>
      </w:hyperlink>
      <w:r w:rsidRPr="005665FF">
        <w:rPr>
          <w:rFonts w:ascii="Arial" w:eastAsia="Times New Roman" w:hAnsi="Arial" w:cs="Arial"/>
          <w:color w:val="000000"/>
          <w:sz w:val="24"/>
          <w:szCs w:val="24"/>
        </w:rPr>
        <w:t>.</w:t>
      </w:r>
    </w:p>
    <w:p w14:paraId="3DA9DC8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87CF6A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book is a systematic presentation of a collaborative multi-disciplinary and multi-institutional study and informs the development of future </w:t>
      </w:r>
      <w:proofErr w:type="spellStart"/>
      <w:r w:rsidRPr="005665FF">
        <w:rPr>
          <w:rFonts w:ascii="Arial" w:eastAsia="Times New Roman" w:hAnsi="Arial" w:cs="Arial"/>
          <w:color w:val="000000"/>
          <w:sz w:val="24"/>
          <w:szCs w:val="24"/>
        </w:rPr>
        <w:t>policiesin</w:t>
      </w:r>
      <w:proofErr w:type="spellEnd"/>
      <w:r w:rsidRPr="005665FF">
        <w:rPr>
          <w:rFonts w:ascii="Arial" w:eastAsia="Times New Roman" w:hAnsi="Arial" w:cs="Arial"/>
          <w:color w:val="000000"/>
          <w:sz w:val="24"/>
          <w:szCs w:val="24"/>
        </w:rPr>
        <w:t xml:space="preserve"> agriculture conservation and development. The intention is to provide readers, especially our international colleagues in agriculture research, scientific </w:t>
      </w:r>
      <w:proofErr w:type="gramStart"/>
      <w:r w:rsidRPr="005665FF">
        <w:rPr>
          <w:rFonts w:ascii="Arial" w:eastAsia="Times New Roman" w:hAnsi="Arial" w:cs="Arial"/>
          <w:color w:val="000000"/>
          <w:sz w:val="24"/>
          <w:szCs w:val="24"/>
        </w:rPr>
        <w:t>data  on</w:t>
      </w:r>
      <w:proofErr w:type="gramEnd"/>
      <w:r w:rsidRPr="005665FF">
        <w:rPr>
          <w:rFonts w:ascii="Arial" w:eastAsia="Times New Roman" w:hAnsi="Arial" w:cs="Arial"/>
          <w:color w:val="000000"/>
          <w:sz w:val="24"/>
          <w:szCs w:val="24"/>
        </w:rPr>
        <w:t xml:space="preserve"> agroecological farming systems in the upper floodplain of the Mekong Delta. This book is also a reference resource for university students from the fields of agricultural sciences, agroecology, food systems, human ecology, sociology, environmental management and climate change. Hopefully, this book will initiate more sustainable agroecological farming system research and further uptake in Vietnam and Mekong countries.</w:t>
      </w:r>
    </w:p>
    <w:p w14:paraId="2D0F9B4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AC472CB"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25" w:name="m_8873885906141426999__Toc2349030"/>
      <w:r w:rsidRPr="005665FF">
        <w:rPr>
          <w:rFonts w:ascii="Calibri" w:eastAsia="Times New Roman" w:hAnsi="Calibri" w:cs="Calibri"/>
          <w:b/>
          <w:bCs/>
          <w:color w:val="800000"/>
        </w:rPr>
        <w:t>Green supply chain management in organic agriculture sector: A case study in Vietnam food safety management.</w:t>
      </w:r>
      <w:bookmarkEnd w:id="25"/>
    </w:p>
    <w:p w14:paraId="6D74AF9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E. Kim. Ho Chi Minh City Proceedings to the 13th International Congress on Logistics and SCM Systems (ICLS 2018), Vietnam, 29 July -1 August 2018, pp. 506-513, 2018.</w:t>
      </w:r>
    </w:p>
    <w:p w14:paraId="3080DF2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AFE27C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The Green Supply Chain Management (GSCM) comprehensively considers the sustainable development as a new approach to Food Safety Risk Management that enables organizations to perform GSCM practices. The literature reviewed organic agricultural sector in theoretical construction of Green Supply Chain. This paper will analyze in due to the literature review of organic agricultural sector through Green Supply Chain Management (GSCM) in Vietnam. Vietnam Government in organic agriculture sector can implement GSCM practices through ensuring that they include food safety standard system when sourcing for organic agriculture products to ensure that they only procure from guideline through Vietnamese Good Agricultural Practices (</w:t>
      </w:r>
      <w:proofErr w:type="spellStart"/>
      <w:r w:rsidRPr="005665FF">
        <w:rPr>
          <w:rFonts w:ascii="Arial" w:eastAsia="Times New Roman" w:hAnsi="Arial" w:cs="Arial"/>
          <w:color w:val="000000"/>
          <w:sz w:val="24"/>
          <w:szCs w:val="24"/>
        </w:rPr>
        <w:t>VietGAP</w:t>
      </w:r>
      <w:proofErr w:type="spellEnd"/>
      <w:r w:rsidRPr="005665FF">
        <w:rPr>
          <w:rFonts w:ascii="Arial" w:eastAsia="Times New Roman" w:hAnsi="Arial" w:cs="Arial"/>
          <w:color w:val="000000"/>
          <w:sz w:val="24"/>
          <w:szCs w:val="24"/>
        </w:rPr>
        <w:t>) which is standards and guidelines to assist individuals or Organizations since 2008. In addition, Kim and McDonald food safety labelling model has classified the good safety labelling management into three broad categories which are labelling, environmental labelling standards, and national legislation.</w:t>
      </w:r>
    </w:p>
    <w:p w14:paraId="6349994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989D5F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hyperlink r:id="rId16" w:anchor="m_8873885906141426999__top" w:history="1">
        <w:r w:rsidRPr="005665FF">
          <w:rPr>
            <w:rFonts w:ascii="Arial" w:eastAsia="Times New Roman" w:hAnsi="Arial" w:cs="Arial"/>
            <w:color w:val="1155CC"/>
            <w:sz w:val="24"/>
            <w:szCs w:val="24"/>
            <w:u w:val="single"/>
          </w:rPr>
          <w:t>Back to top</w:t>
        </w:r>
      </w:hyperlink>
    </w:p>
    <w:p w14:paraId="57E14B4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911BCA1"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26" w:name="m_8873885906141426999__Toc2349031"/>
      <w:r w:rsidRPr="005665FF">
        <w:rPr>
          <w:rFonts w:ascii="Arial" w:eastAsia="Times New Roman" w:hAnsi="Arial" w:cs="Arial"/>
          <w:b/>
          <w:bCs/>
          <w:color w:val="FFFFFF"/>
          <w:kern w:val="36"/>
          <w:sz w:val="48"/>
          <w:szCs w:val="48"/>
        </w:rPr>
        <w:t>ECONOMIC DEVELOPMENT</w:t>
      </w:r>
      <w:bookmarkEnd w:id="26"/>
    </w:p>
    <w:p w14:paraId="387E648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3E34238"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27" w:name="m_8873885906141426999__Toc2349032"/>
      <w:r w:rsidRPr="005665FF">
        <w:rPr>
          <w:rFonts w:ascii="Calibri" w:eastAsia="Times New Roman" w:hAnsi="Calibri" w:cs="Calibri"/>
          <w:b/>
          <w:bCs/>
          <w:color w:val="800000"/>
        </w:rPr>
        <w:lastRenderedPageBreak/>
        <w:t xml:space="preserve">Vietnam’s Industrialization </w:t>
      </w:r>
      <w:proofErr w:type="gramStart"/>
      <w:r w:rsidRPr="005665FF">
        <w:rPr>
          <w:rFonts w:ascii="Calibri" w:eastAsia="Times New Roman" w:hAnsi="Calibri" w:cs="Calibri"/>
          <w:b/>
          <w:bCs/>
          <w:color w:val="800000"/>
        </w:rPr>
        <w:t>Ambitions :</w:t>
      </w:r>
      <w:proofErr w:type="gramEnd"/>
      <w:r w:rsidRPr="005665FF">
        <w:rPr>
          <w:rFonts w:ascii="Calibri" w:eastAsia="Times New Roman" w:hAnsi="Calibri" w:cs="Calibri"/>
          <w:b/>
          <w:bCs/>
          <w:color w:val="800000"/>
        </w:rPr>
        <w:t xml:space="preserve"> The Case of </w:t>
      </w:r>
      <w:proofErr w:type="spellStart"/>
      <w:r w:rsidRPr="005665FF">
        <w:rPr>
          <w:rFonts w:ascii="Calibri" w:eastAsia="Times New Roman" w:hAnsi="Calibri" w:cs="Calibri"/>
          <w:b/>
          <w:bCs/>
          <w:color w:val="800000"/>
        </w:rPr>
        <w:t>Vingroup</w:t>
      </w:r>
      <w:proofErr w:type="spellEnd"/>
      <w:r w:rsidRPr="005665FF">
        <w:rPr>
          <w:rFonts w:ascii="Calibri" w:eastAsia="Times New Roman" w:hAnsi="Calibri" w:cs="Calibri"/>
          <w:b/>
          <w:bCs/>
          <w:color w:val="800000"/>
        </w:rPr>
        <w:t xml:space="preserve"> and the Automotive Industry`.</w:t>
      </w:r>
      <w:bookmarkEnd w:id="27"/>
    </w:p>
    <w:p w14:paraId="20703A8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Le Hong </w:t>
      </w:r>
      <w:proofErr w:type="spellStart"/>
      <w:r w:rsidRPr="005665FF">
        <w:rPr>
          <w:rFonts w:ascii="Arial" w:eastAsia="Times New Roman" w:hAnsi="Arial" w:cs="Arial"/>
          <w:color w:val="000000"/>
          <w:sz w:val="24"/>
          <w:szCs w:val="24"/>
        </w:rPr>
        <w:t>Hiep</w:t>
      </w:r>
      <w:proofErr w:type="spellEnd"/>
      <w:r w:rsidRPr="005665FF">
        <w:rPr>
          <w:rFonts w:ascii="Arial" w:eastAsia="Times New Roman" w:hAnsi="Arial" w:cs="Arial"/>
          <w:color w:val="000000"/>
          <w:sz w:val="24"/>
          <w:szCs w:val="24"/>
        </w:rPr>
        <w:t>. Trends in Southeast Asia Series TRS2/19 (ISEAS), 2019.</w:t>
      </w:r>
    </w:p>
    <w:p w14:paraId="0C8150B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17" w:tgtFrame="_blank" w:history="1">
        <w:r w:rsidRPr="005665FF">
          <w:rPr>
            <w:rFonts w:ascii="Arial" w:eastAsia="Times New Roman" w:hAnsi="Arial" w:cs="Arial"/>
            <w:color w:val="1155CC"/>
            <w:sz w:val="24"/>
            <w:szCs w:val="24"/>
            <w:u w:val="single"/>
          </w:rPr>
          <w:t>https://think-asia.org/bitstream/handle/11540/9511/TRS2_19.pdf</w:t>
        </w:r>
      </w:hyperlink>
      <w:r w:rsidRPr="005665FF">
        <w:rPr>
          <w:rFonts w:ascii="Arial" w:eastAsia="Times New Roman" w:hAnsi="Arial" w:cs="Arial"/>
          <w:color w:val="000000"/>
          <w:sz w:val="24"/>
          <w:szCs w:val="24"/>
        </w:rPr>
        <w:t>.</w:t>
      </w:r>
    </w:p>
    <w:p w14:paraId="58032F6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D3DC2C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Vietnam has officially admitted its failure to achieve industrialized economy status by 2020. This failure is partly due to its inability to grow a strong local manufacturing base and develop key strategic industries. </w:t>
      </w:r>
      <w:proofErr w:type="gramStart"/>
      <w:r w:rsidRPr="005665FF">
        <w:rPr>
          <w:rFonts w:ascii="Arial" w:eastAsia="Times New Roman" w:hAnsi="Arial" w:cs="Arial"/>
          <w:color w:val="000000"/>
          <w:sz w:val="24"/>
          <w:szCs w:val="24"/>
        </w:rPr>
        <w:t>---  The</w:t>
      </w:r>
      <w:proofErr w:type="gramEnd"/>
      <w:r w:rsidRPr="005665FF">
        <w:rPr>
          <w:rFonts w:ascii="Arial" w:eastAsia="Times New Roman" w:hAnsi="Arial" w:cs="Arial"/>
          <w:color w:val="000000"/>
          <w:sz w:val="24"/>
          <w:szCs w:val="24"/>
        </w:rPr>
        <w:t xml:space="preserve"> participation of </w:t>
      </w:r>
      <w:proofErr w:type="spellStart"/>
      <w:r w:rsidRPr="005665FF">
        <w:rPr>
          <w:rFonts w:ascii="Arial" w:eastAsia="Times New Roman" w:hAnsi="Arial" w:cs="Arial"/>
          <w:color w:val="000000"/>
          <w:sz w:val="24"/>
          <w:szCs w:val="24"/>
        </w:rPr>
        <w:t>Vingroup</w:t>
      </w:r>
      <w:proofErr w:type="spellEnd"/>
      <w:r w:rsidRPr="005665FF">
        <w:rPr>
          <w:rFonts w:ascii="Arial" w:eastAsia="Times New Roman" w:hAnsi="Arial" w:cs="Arial"/>
          <w:color w:val="000000"/>
          <w:sz w:val="24"/>
          <w:szCs w:val="24"/>
        </w:rPr>
        <w:t xml:space="preserve">, the country’s largest private conglomerate, in the automotive industry has sparked new hopes for Vietnam’s industrialization drive. The company, through its subsidiary </w:t>
      </w:r>
      <w:proofErr w:type="spellStart"/>
      <w:r w:rsidRPr="005665FF">
        <w:rPr>
          <w:rFonts w:ascii="Arial" w:eastAsia="Times New Roman" w:hAnsi="Arial" w:cs="Arial"/>
          <w:color w:val="000000"/>
          <w:sz w:val="24"/>
          <w:szCs w:val="24"/>
        </w:rPr>
        <w:t>Vinfast</w:t>
      </w:r>
      <w:proofErr w:type="spellEnd"/>
      <w:r w:rsidRPr="005665FF">
        <w:rPr>
          <w:rFonts w:ascii="Arial" w:eastAsia="Times New Roman" w:hAnsi="Arial" w:cs="Arial"/>
          <w:color w:val="000000"/>
          <w:sz w:val="24"/>
          <w:szCs w:val="24"/>
        </w:rPr>
        <w:t xml:space="preserve">, aims to become a leading automaker in Southeast Asia with an annual capacity of 500,000 units and a localization ratio of 60 per cent by 2025. --- Challenges that </w:t>
      </w:r>
      <w:proofErr w:type="spellStart"/>
      <w:r w:rsidRPr="005665FF">
        <w:rPr>
          <w:rFonts w:ascii="Arial" w:eastAsia="Times New Roman" w:hAnsi="Arial" w:cs="Arial"/>
          <w:color w:val="000000"/>
          <w:sz w:val="24"/>
          <w:szCs w:val="24"/>
        </w:rPr>
        <w:t>Vinfast</w:t>
      </w:r>
      <w:proofErr w:type="spellEnd"/>
      <w:r w:rsidRPr="005665FF">
        <w:rPr>
          <w:rFonts w:ascii="Arial" w:eastAsia="Times New Roman" w:hAnsi="Arial" w:cs="Arial"/>
          <w:color w:val="000000"/>
          <w:sz w:val="24"/>
          <w:szCs w:val="24"/>
        </w:rPr>
        <w:t xml:space="preserve"> faces include its unproven track record in the industry; the limited size of the national car market; the lack of infrastructure to support car usage in Vietnam; the intense competition from foreign brands; and its initial reliance on imported technologies and know-hows. </w:t>
      </w:r>
      <w:proofErr w:type="gramStart"/>
      <w:r w:rsidRPr="005665FF">
        <w:rPr>
          <w:rFonts w:ascii="Arial" w:eastAsia="Times New Roman" w:hAnsi="Arial" w:cs="Arial"/>
          <w:color w:val="000000"/>
          <w:sz w:val="24"/>
          <w:szCs w:val="24"/>
        </w:rPr>
        <w:t>---  However</w:t>
      </w:r>
      <w:proofErr w:type="gram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Vinfast</w:t>
      </w:r>
      <w:proofErr w:type="spellEnd"/>
      <w:r w:rsidRPr="005665FF">
        <w:rPr>
          <w:rFonts w:ascii="Arial" w:eastAsia="Times New Roman" w:hAnsi="Arial" w:cs="Arial"/>
          <w:color w:val="000000"/>
          <w:sz w:val="24"/>
          <w:szCs w:val="24"/>
        </w:rPr>
        <w:t xml:space="preserve"> enjoys certain advantages in the domestic market, including the large potential of the Vietnamese automotive market; its freedom as a new automaker to define its business strategies without having to deal with legacy issues; </w:t>
      </w:r>
      <w:proofErr w:type="spellStart"/>
      <w:r w:rsidRPr="005665FF">
        <w:rPr>
          <w:rFonts w:ascii="Arial" w:eastAsia="Times New Roman" w:hAnsi="Arial" w:cs="Arial"/>
          <w:color w:val="000000"/>
          <w:sz w:val="24"/>
          <w:szCs w:val="24"/>
        </w:rPr>
        <w:t>Vingroup’s</w:t>
      </w:r>
      <w:proofErr w:type="spellEnd"/>
      <w:r w:rsidRPr="005665FF">
        <w:rPr>
          <w:rFonts w:ascii="Arial" w:eastAsia="Times New Roman" w:hAnsi="Arial" w:cs="Arial"/>
          <w:color w:val="000000"/>
          <w:sz w:val="24"/>
          <w:szCs w:val="24"/>
        </w:rPr>
        <w:t xml:space="preserve"> sound business and financial performance and its ecosystem; strong support from the Vietnamese government; and nationalist sentiments that will encourage certain Vietnamese customers to choose its products. </w:t>
      </w:r>
      <w:proofErr w:type="gramStart"/>
      <w:r w:rsidRPr="005665FF">
        <w:rPr>
          <w:rFonts w:ascii="Arial" w:eastAsia="Times New Roman" w:hAnsi="Arial" w:cs="Arial"/>
          <w:color w:val="000000"/>
          <w:sz w:val="24"/>
          <w:szCs w:val="24"/>
        </w:rPr>
        <w:t>---  If</w:t>
      </w:r>
      <w:proofErr w:type="gram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Vinfast</w:t>
      </w:r>
      <w:proofErr w:type="spellEnd"/>
      <w:r w:rsidRPr="005665FF">
        <w:rPr>
          <w:rFonts w:ascii="Arial" w:eastAsia="Times New Roman" w:hAnsi="Arial" w:cs="Arial"/>
          <w:color w:val="000000"/>
          <w:sz w:val="24"/>
          <w:szCs w:val="24"/>
        </w:rPr>
        <w:t xml:space="preserve"> is successful, it will boost Vietnam’s GDP growth and reinvent the country’s automotive industry. Its success will also contribute significantly to the realization of Vietnam’s industrialization ambitions and bring private actors into the </w:t>
      </w:r>
      <w:proofErr w:type="spellStart"/>
      <w:r w:rsidRPr="005665FF">
        <w:rPr>
          <w:rFonts w:ascii="Arial" w:eastAsia="Times New Roman" w:hAnsi="Arial" w:cs="Arial"/>
          <w:color w:val="000000"/>
          <w:sz w:val="24"/>
          <w:szCs w:val="24"/>
        </w:rPr>
        <w:t>centre</w:t>
      </w:r>
      <w:proofErr w:type="spellEnd"/>
      <w:r w:rsidRPr="005665FF">
        <w:rPr>
          <w:rFonts w:ascii="Arial" w:eastAsia="Times New Roman" w:hAnsi="Arial" w:cs="Arial"/>
          <w:color w:val="000000"/>
          <w:sz w:val="24"/>
          <w:szCs w:val="24"/>
        </w:rPr>
        <w:t xml:space="preserve"> stage of the economy. If the company fails, however, it will cause considerable problems for both </w:t>
      </w:r>
      <w:proofErr w:type="spellStart"/>
      <w:r w:rsidRPr="005665FF">
        <w:rPr>
          <w:rFonts w:ascii="Arial" w:eastAsia="Times New Roman" w:hAnsi="Arial" w:cs="Arial"/>
          <w:color w:val="000000"/>
          <w:sz w:val="24"/>
          <w:szCs w:val="24"/>
        </w:rPr>
        <w:t>Vingroup</w:t>
      </w:r>
      <w:proofErr w:type="spellEnd"/>
      <w:r w:rsidRPr="005665FF">
        <w:rPr>
          <w:rFonts w:ascii="Arial" w:eastAsia="Times New Roman" w:hAnsi="Arial" w:cs="Arial"/>
          <w:color w:val="000000"/>
          <w:sz w:val="24"/>
          <w:szCs w:val="24"/>
        </w:rPr>
        <w:t xml:space="preserve"> and the Vietnamese economy.</w:t>
      </w:r>
    </w:p>
    <w:p w14:paraId="15672A8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1D6969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28" w:name="m_8873885906141426999__Toc2349033"/>
      <w:r w:rsidRPr="005665FF">
        <w:rPr>
          <w:rFonts w:ascii="Calibri" w:eastAsia="Times New Roman" w:hAnsi="Calibri" w:cs="Calibri"/>
          <w:b/>
          <w:bCs/>
          <w:color w:val="800000"/>
        </w:rPr>
        <w:t>Land Ownership and Informal Credit in Rural Vietnam.</w:t>
      </w:r>
      <w:bookmarkEnd w:id="28"/>
    </w:p>
    <w:p w14:paraId="105CF9A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Matteo </w:t>
      </w:r>
      <w:proofErr w:type="spellStart"/>
      <w:r w:rsidRPr="005665FF">
        <w:rPr>
          <w:rFonts w:ascii="Arial" w:eastAsia="Times New Roman" w:hAnsi="Arial" w:cs="Arial"/>
          <w:color w:val="000000"/>
          <w:sz w:val="24"/>
          <w:szCs w:val="24"/>
        </w:rPr>
        <w:t>Migheli</w:t>
      </w:r>
      <w:proofErr w:type="spellEnd"/>
      <w:r w:rsidRPr="005665FF">
        <w:rPr>
          <w:rFonts w:ascii="Arial" w:eastAsia="Times New Roman" w:hAnsi="Arial" w:cs="Arial"/>
          <w:color w:val="000000"/>
          <w:sz w:val="24"/>
          <w:szCs w:val="24"/>
        </w:rPr>
        <w:t>. Turin (</w:t>
      </w:r>
      <w:proofErr w:type="spellStart"/>
      <w:r w:rsidRPr="005665FF">
        <w:rPr>
          <w:rFonts w:ascii="Arial" w:eastAsia="Times New Roman" w:hAnsi="Arial" w:cs="Arial"/>
          <w:color w:val="000000"/>
          <w:sz w:val="24"/>
          <w:szCs w:val="24"/>
        </w:rPr>
        <w:t>CeRP</w:t>
      </w:r>
      <w:proofErr w:type="spellEnd"/>
      <w:r w:rsidRPr="005665FF">
        <w:rPr>
          <w:rFonts w:ascii="Arial" w:eastAsia="Times New Roman" w:hAnsi="Arial" w:cs="Arial"/>
          <w:color w:val="000000"/>
          <w:sz w:val="24"/>
          <w:szCs w:val="24"/>
        </w:rPr>
        <w:t>) Working Papers No 183 Center for Research on Pensions and Welfare Policies, 2018.</w:t>
      </w:r>
    </w:p>
    <w:p w14:paraId="59E13AE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18" w:tgtFrame="_blank" w:history="1">
        <w:r w:rsidRPr="005665FF">
          <w:rPr>
            <w:rFonts w:ascii="Arial" w:eastAsia="Times New Roman" w:hAnsi="Arial" w:cs="Arial"/>
            <w:color w:val="1155CC"/>
            <w:sz w:val="24"/>
            <w:szCs w:val="24"/>
            <w:u w:val="single"/>
          </w:rPr>
          <w:t>http://www.cerp.carloalberto.org/land-ownership-and-informal-credit-in-rural-vietnam/</w:t>
        </w:r>
      </w:hyperlink>
      <w:r w:rsidRPr="005665FF">
        <w:rPr>
          <w:rFonts w:ascii="Arial" w:eastAsia="Times New Roman" w:hAnsi="Arial" w:cs="Arial"/>
          <w:color w:val="000000"/>
          <w:sz w:val="24"/>
          <w:szCs w:val="24"/>
        </w:rPr>
        <w:t>.</w:t>
      </w:r>
    </w:p>
    <w:p w14:paraId="309C95B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2286E5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Access to credit and its cost is a major challenge for farmers in developing countries. Several studies show that land serves as collateral for accessing formal credit, but they often do not find any significant effect of land size on access to informal credit. I study the effects of land ownership on both the demand and the cost of informal credit in the Mekong Delta. The results show that as land ownership increases, both the </w:t>
      </w:r>
      <w:r w:rsidRPr="005665FF">
        <w:rPr>
          <w:rFonts w:ascii="Arial" w:eastAsia="Times New Roman" w:hAnsi="Arial" w:cs="Arial"/>
          <w:color w:val="000000"/>
          <w:sz w:val="24"/>
          <w:szCs w:val="24"/>
        </w:rPr>
        <w:lastRenderedPageBreak/>
        <w:t>demand and the cost of informal loans decrease. Design and implementation of appropriate land redistributions seems a fundamental way to fight the informal credit market.</w:t>
      </w:r>
    </w:p>
    <w:p w14:paraId="641EBA4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9DE17FC"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29" w:name="m_8873885906141426999__Toc2349034"/>
      <w:r w:rsidRPr="005665FF">
        <w:rPr>
          <w:rFonts w:ascii="Calibri" w:eastAsia="Times New Roman" w:hAnsi="Calibri" w:cs="Calibri"/>
          <w:b/>
          <w:bCs/>
          <w:color w:val="800000"/>
        </w:rPr>
        <w:t>The Impact of State Religious Policies on Christian Women ’s Leadership Status in Vietnam: The Case of the Evangelical Church of Vietnam Since 1975.</w:t>
      </w:r>
      <w:bookmarkEnd w:id="29"/>
    </w:p>
    <w:p w14:paraId="284ADA4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Le Ngoc </w:t>
      </w:r>
      <w:proofErr w:type="spellStart"/>
      <w:r w:rsidRPr="005665FF">
        <w:rPr>
          <w:rFonts w:ascii="Arial" w:eastAsia="Times New Roman" w:hAnsi="Arial" w:cs="Arial"/>
          <w:color w:val="000000"/>
          <w:sz w:val="24"/>
          <w:szCs w:val="24"/>
        </w:rPr>
        <w:t>Bich</w:t>
      </w:r>
      <w:proofErr w:type="spellEnd"/>
      <w:r w:rsidRPr="005665FF">
        <w:rPr>
          <w:rFonts w:ascii="Arial" w:eastAsia="Times New Roman" w:hAnsi="Arial" w:cs="Arial"/>
          <w:color w:val="000000"/>
          <w:sz w:val="24"/>
          <w:szCs w:val="24"/>
        </w:rPr>
        <w:t xml:space="preserve"> Ly. Journal of International Women's Studies, 2019, volume 20, number 2.</w:t>
      </w:r>
    </w:p>
    <w:p w14:paraId="5AA433A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19" w:tgtFrame="_blank" w:history="1">
        <w:r w:rsidRPr="005665FF">
          <w:rPr>
            <w:rFonts w:ascii="Arial" w:eastAsia="Times New Roman" w:hAnsi="Arial" w:cs="Arial"/>
            <w:color w:val="1155CC"/>
            <w:sz w:val="24"/>
            <w:szCs w:val="24"/>
            <w:u w:val="single"/>
          </w:rPr>
          <w:t>https://vc.bridgew.edu/cgi/viewcontent.cgi?article=2097&amp;context=jiws</w:t>
        </w:r>
      </w:hyperlink>
      <w:r w:rsidRPr="005665FF">
        <w:rPr>
          <w:rFonts w:ascii="Arial" w:eastAsia="Times New Roman" w:hAnsi="Arial" w:cs="Arial"/>
          <w:color w:val="000000"/>
          <w:sz w:val="24"/>
          <w:szCs w:val="24"/>
        </w:rPr>
        <w:t>.</w:t>
      </w:r>
    </w:p>
    <w:p w14:paraId="685D618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1747C0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paper contributes to a feminist critique of multiculturalism by presenting the complexity of the relationship among the state, religion and women in the context of Vietnam. By taking the Evangelical Church of Vietnam—South as a case study, and based on both primary and secondary data obtained from in-depth interviews with 38 Vietnamese female and male church </w:t>
      </w:r>
      <w:proofErr w:type="spellStart"/>
      <w:r w:rsidRPr="005665FF">
        <w:rPr>
          <w:rFonts w:ascii="Arial" w:eastAsia="Times New Roman" w:hAnsi="Arial" w:cs="Arial"/>
          <w:color w:val="000000"/>
          <w:sz w:val="24"/>
          <w:szCs w:val="24"/>
        </w:rPr>
        <w:t>leadersin</w:t>
      </w:r>
      <w:proofErr w:type="spellEnd"/>
      <w:r w:rsidRPr="005665FF">
        <w:rPr>
          <w:rFonts w:ascii="Arial" w:eastAsia="Times New Roman" w:hAnsi="Arial" w:cs="Arial"/>
          <w:color w:val="000000"/>
          <w:sz w:val="24"/>
          <w:szCs w:val="24"/>
        </w:rPr>
        <w:t xml:space="preserve"> 2014–2016, and four months of fieldwork in southern Vietnam between February and May 2016, the paper argues that the assumption of equal rights and citizenship status for all women in the wider society according to the liberal model of multiculturalism cannot be directly applied in Vietnam. State religious policies in this country play a significant role in the double reduction of Christian women’s and status in terms of leadership first in the wider society and second in the religious community itself despite the existence of national advanced gender law and the government’s tight control of religious groups. The failure of both this church and the government in upholding the governmental gender policies within this religious organization has complex </w:t>
      </w:r>
      <w:proofErr w:type="spellStart"/>
      <w:r w:rsidRPr="005665FF">
        <w:rPr>
          <w:rFonts w:ascii="Arial" w:eastAsia="Times New Roman" w:hAnsi="Arial" w:cs="Arial"/>
          <w:color w:val="000000"/>
          <w:sz w:val="24"/>
          <w:szCs w:val="24"/>
        </w:rPr>
        <w:t>causesrights</w:t>
      </w:r>
      <w:proofErr w:type="spellEnd"/>
      <w:r w:rsidRPr="005665FF">
        <w:rPr>
          <w:rFonts w:ascii="Arial" w:eastAsia="Times New Roman" w:hAnsi="Arial" w:cs="Arial"/>
          <w:color w:val="000000"/>
          <w:sz w:val="24"/>
          <w:szCs w:val="24"/>
        </w:rPr>
        <w:t xml:space="preserve"> embedded in the context of Vietnam. This paper looks into the government’s political concern rather than gender one in its management of religion and the </w:t>
      </w:r>
      <w:proofErr w:type="spellStart"/>
      <w:r w:rsidRPr="005665FF">
        <w:rPr>
          <w:rFonts w:ascii="Arial" w:eastAsia="Times New Roman" w:hAnsi="Arial" w:cs="Arial"/>
          <w:color w:val="000000"/>
          <w:sz w:val="24"/>
          <w:szCs w:val="24"/>
        </w:rPr>
        <w:t>ECVN’stheological</w:t>
      </w:r>
      <w:proofErr w:type="spellEnd"/>
      <w:r w:rsidRPr="005665FF">
        <w:rPr>
          <w:rFonts w:ascii="Arial" w:eastAsia="Times New Roman" w:hAnsi="Arial" w:cs="Arial"/>
          <w:color w:val="000000"/>
          <w:sz w:val="24"/>
          <w:szCs w:val="24"/>
        </w:rPr>
        <w:t>, political and social stance as main causes of the gender problem.</w:t>
      </w:r>
    </w:p>
    <w:p w14:paraId="4CC6BA2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EE18C4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hyperlink r:id="rId20" w:anchor="m_8873885906141426999__top" w:history="1">
        <w:r w:rsidRPr="005665FF">
          <w:rPr>
            <w:rFonts w:ascii="Arial" w:eastAsia="Times New Roman" w:hAnsi="Arial" w:cs="Arial"/>
            <w:color w:val="1155CC"/>
            <w:sz w:val="24"/>
            <w:szCs w:val="24"/>
            <w:u w:val="single"/>
          </w:rPr>
          <w:t>Back to top</w:t>
        </w:r>
      </w:hyperlink>
    </w:p>
    <w:p w14:paraId="2DCEFBD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89F8F83"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30" w:name="m_8873885906141426999__Toc2349035"/>
      <w:r w:rsidRPr="005665FF">
        <w:rPr>
          <w:rFonts w:ascii="Calibri" w:eastAsia="Times New Roman" w:hAnsi="Calibri" w:cs="Calibri"/>
          <w:b/>
          <w:bCs/>
          <w:color w:val="800000"/>
        </w:rPr>
        <w:t>Factors affecting entrepreneurial intentions among youths in Vietnam.</w:t>
      </w:r>
      <w:bookmarkEnd w:id="30"/>
    </w:p>
    <w:p w14:paraId="1C5187D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Anh Tuan Nguyen,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Hai Ha Do,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Bich</w:t>
      </w:r>
      <w:proofErr w:type="spellEnd"/>
      <w:r w:rsidRPr="005665FF">
        <w:rPr>
          <w:rFonts w:ascii="Arial" w:eastAsia="Times New Roman" w:hAnsi="Arial" w:cs="Arial"/>
          <w:color w:val="000000"/>
          <w:sz w:val="24"/>
          <w:szCs w:val="24"/>
        </w:rPr>
        <w:t xml:space="preserve"> Thao Vu, Kim Anh Dang and Hoang Long Nguyen. Children and Youth Services Review, 2019, volume 99, pp. 186-193.</w:t>
      </w:r>
    </w:p>
    <w:p w14:paraId="7ED4B7F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1A16FE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xml:space="preserve">Abstract: Background Promoting entrepreneurship among youths is critical to achieve of the goal of the Vietnamese Government as having one million businesses operating effectively until 2020. This requires an understand of entrepreneurial intentions in this population, as well as related potential barriers and facilitators. However, evidence about entrepreneurial intentions in Vietnamese youths is limited. This study aims to clarify the factors influencing the entrepreneurial intentions among youths in Vietnam. Materials and methods </w:t>
      </w:r>
      <w:proofErr w:type="gramStart"/>
      <w:r w:rsidRPr="005665FF">
        <w:rPr>
          <w:rFonts w:ascii="Arial" w:eastAsia="Times New Roman" w:hAnsi="Arial" w:cs="Arial"/>
          <w:color w:val="000000"/>
          <w:sz w:val="24"/>
          <w:szCs w:val="24"/>
        </w:rPr>
        <w:t>An</w:t>
      </w:r>
      <w:proofErr w:type="gramEnd"/>
      <w:r w:rsidRPr="005665FF">
        <w:rPr>
          <w:rFonts w:ascii="Arial" w:eastAsia="Times New Roman" w:hAnsi="Arial" w:cs="Arial"/>
          <w:color w:val="000000"/>
          <w:sz w:val="24"/>
          <w:szCs w:val="24"/>
        </w:rPr>
        <w:t xml:space="preserve"> online survey was conducted in 1600 youths from ten provinces including Hai Duong, Nghe An, Da Nang, Ben Tre, Dong </w:t>
      </w:r>
      <w:proofErr w:type="spellStart"/>
      <w:r w:rsidRPr="005665FF">
        <w:rPr>
          <w:rFonts w:ascii="Arial" w:eastAsia="Times New Roman" w:hAnsi="Arial" w:cs="Arial"/>
          <w:color w:val="000000"/>
          <w:sz w:val="24"/>
          <w:szCs w:val="24"/>
        </w:rPr>
        <w:t>Thap</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Binh</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Dinh</w:t>
      </w:r>
      <w:proofErr w:type="spellEnd"/>
      <w:r w:rsidRPr="005665FF">
        <w:rPr>
          <w:rFonts w:ascii="Arial" w:eastAsia="Times New Roman" w:hAnsi="Arial" w:cs="Arial"/>
          <w:color w:val="000000"/>
          <w:sz w:val="24"/>
          <w:szCs w:val="24"/>
        </w:rPr>
        <w:t xml:space="preserve">, Ho Chi Minh city, Bac </w:t>
      </w:r>
      <w:proofErr w:type="spellStart"/>
      <w:r w:rsidRPr="005665FF">
        <w:rPr>
          <w:rFonts w:ascii="Arial" w:eastAsia="Times New Roman" w:hAnsi="Arial" w:cs="Arial"/>
          <w:color w:val="000000"/>
          <w:sz w:val="24"/>
          <w:szCs w:val="24"/>
        </w:rPr>
        <w:t>Ninh</w:t>
      </w:r>
      <w:proofErr w:type="spellEnd"/>
      <w:r w:rsidRPr="005665FF">
        <w:rPr>
          <w:rFonts w:ascii="Arial" w:eastAsia="Times New Roman" w:hAnsi="Arial" w:cs="Arial"/>
          <w:color w:val="000000"/>
          <w:sz w:val="24"/>
          <w:szCs w:val="24"/>
        </w:rPr>
        <w:t xml:space="preserve">, Ha </w:t>
      </w:r>
      <w:proofErr w:type="spellStart"/>
      <w:r w:rsidRPr="005665FF">
        <w:rPr>
          <w:rFonts w:ascii="Arial" w:eastAsia="Times New Roman" w:hAnsi="Arial" w:cs="Arial"/>
          <w:color w:val="000000"/>
          <w:sz w:val="24"/>
          <w:szCs w:val="24"/>
        </w:rPr>
        <w:t>Noi</w:t>
      </w:r>
      <w:proofErr w:type="spellEnd"/>
      <w:r w:rsidRPr="005665FF">
        <w:rPr>
          <w:rFonts w:ascii="Arial" w:eastAsia="Times New Roman" w:hAnsi="Arial" w:cs="Arial"/>
          <w:color w:val="000000"/>
          <w:sz w:val="24"/>
          <w:szCs w:val="24"/>
        </w:rPr>
        <w:t xml:space="preserve"> and Bac </w:t>
      </w:r>
      <w:proofErr w:type="spellStart"/>
      <w:r w:rsidRPr="005665FF">
        <w:rPr>
          <w:rFonts w:ascii="Arial" w:eastAsia="Times New Roman" w:hAnsi="Arial" w:cs="Arial"/>
          <w:color w:val="000000"/>
          <w:sz w:val="24"/>
          <w:szCs w:val="24"/>
        </w:rPr>
        <w:t>Giang</w:t>
      </w:r>
      <w:proofErr w:type="spellEnd"/>
      <w:r w:rsidRPr="005665FF">
        <w:rPr>
          <w:rFonts w:ascii="Arial" w:eastAsia="Times New Roman" w:hAnsi="Arial" w:cs="Arial"/>
          <w:color w:val="000000"/>
          <w:sz w:val="24"/>
          <w:szCs w:val="24"/>
        </w:rPr>
        <w:t>. The Theory of Planned Behaviors was applied to build a conceptual framework. Instruments included socio-demographic characteristics, scales to measure entrepreneurial intentions, social norms, attitude toward entrepreneurship, perceived behavioral control, attitudes toward money, desire for success, education about entrepreneurship, experiences with entrepreneurship, business environment, and creativity. Multivariate linear regression was used to identify the connections between entrepreneurial intentions and potential antecedents. Results The level of entrepreneurial intentions was medium (Mean = 3.400; SD = 0.870). The mean score of “Desire for success and challenge” was the highest at 3.784 (SD = 0.695), following by “Entrepreneurship education” at 3.637 (SD = 0.801). The lowest score was 3.071 (SD = 0.799) in “Perceived Behavioral Control”. Results show that Desire for success and challenge, Attitude toward Entrepreneurship, Perceived Behavioral Control, Experiences with Entrepreneurship, and Creativity were positively correlated with the entrepreneurial intentions among Vietnamese youths. In which, Attitude toward Entrepreneurship had the highest influence (Adjusted Coefficient = 0.293; p &lt; .01), following by Desire for Success and Challenge (Adjusted Coefficient = 0.248; p &lt; .01) and Perceived Behavioral Control (Adjusted Coefficient = 0.231; p &lt; .01). Conclusion This study highlighted the medium level of entrepreneurial intentions among Vietnamese youths. Our study highlighted the medium levels of entrepreneurial intentions among Vietnamese youths. Providing innovative educational support and organizing business contests in school, as well as developing youth entrepreneurship-oriented policies that help them to access sufficient resources for starting a business are vital to encourage youths' interest in entrepreneurship.</w:t>
      </w:r>
    </w:p>
    <w:p w14:paraId="694F5C6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4994AB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31" w:name="m_8873885906141426999__Toc2349036"/>
      <w:r w:rsidRPr="005665FF">
        <w:rPr>
          <w:rFonts w:ascii="Calibri" w:eastAsia="Times New Roman" w:hAnsi="Calibri" w:cs="Calibri"/>
          <w:b/>
          <w:bCs/>
          <w:color w:val="800000"/>
        </w:rPr>
        <w:t>Fostering academic entrepreneurship: A qualitative study of invention commercialization in Vietnam.</w:t>
      </w:r>
      <w:bookmarkEnd w:id="31"/>
    </w:p>
    <w:p w14:paraId="27D514A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Thang V. Nguyen, Lan T. Nguyen and </w:t>
      </w:r>
      <w:proofErr w:type="spellStart"/>
      <w:r w:rsidRPr="005665FF">
        <w:rPr>
          <w:rFonts w:ascii="Arial" w:eastAsia="Times New Roman" w:hAnsi="Arial" w:cs="Arial"/>
          <w:color w:val="000000"/>
          <w:sz w:val="24"/>
          <w:szCs w:val="24"/>
        </w:rPr>
        <w:t>Hieu</w:t>
      </w:r>
      <w:proofErr w:type="spellEnd"/>
      <w:r w:rsidRPr="005665FF">
        <w:rPr>
          <w:rFonts w:ascii="Arial" w:eastAsia="Times New Roman" w:hAnsi="Arial" w:cs="Arial"/>
          <w:color w:val="000000"/>
          <w:sz w:val="24"/>
          <w:szCs w:val="24"/>
        </w:rPr>
        <w:t xml:space="preserve"> H. Nguyen. Journal of Developmental Entrepreneurship, 2019.</w:t>
      </w:r>
    </w:p>
    <w:p w14:paraId="3485CB9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BDF5A6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Previous studies have been silent on how institutional factors influence scientists’ entrepreneurial cognitions and behavior. Transition economies offer a unique opportunity for addressing this issue since different generations of scientists experienced vastly different ideology and management systems. Built on the entrepreneurial cognitions and contextualization views and interview data from scientists in Vietnam, this study found that scientists internalized institutional factors to </w:t>
      </w:r>
      <w:r w:rsidRPr="005665FF">
        <w:rPr>
          <w:rFonts w:ascii="Arial" w:eastAsia="Times New Roman" w:hAnsi="Arial" w:cs="Arial"/>
          <w:color w:val="000000"/>
          <w:sz w:val="24"/>
          <w:szCs w:val="24"/>
        </w:rPr>
        <w:lastRenderedPageBreak/>
        <w:t>form their motivations, partnership approaches, and behavioral competencies, which in turn influence their chosen modes of entrepreneurship. This suggests that new institutions which address younger generations and focus on developing entrepreneurial qualities are pertinent to promote commercialization in transition economies.</w:t>
      </w:r>
    </w:p>
    <w:p w14:paraId="129C34B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D5D43A1"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0D9FA175" w14:textId="4DF82498"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4001CFD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08EFF6A"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32" w:name="m_8873885906141426999__Toc2349037"/>
      <w:r w:rsidRPr="005665FF">
        <w:rPr>
          <w:rFonts w:ascii="Calibri" w:eastAsia="Times New Roman" w:hAnsi="Calibri" w:cs="Calibri"/>
          <w:b/>
          <w:bCs/>
          <w:color w:val="800000"/>
        </w:rPr>
        <w:t>State of Southeast Asia: 2019.</w:t>
      </w:r>
      <w:bookmarkEnd w:id="32"/>
    </w:p>
    <w:p w14:paraId="28E9419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Tang Siew Mun, Moe Thuzar, Hoang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Ha, </w:t>
      </w:r>
      <w:proofErr w:type="spellStart"/>
      <w:r w:rsidRPr="005665FF">
        <w:rPr>
          <w:rFonts w:ascii="Arial" w:eastAsia="Times New Roman" w:hAnsi="Arial" w:cs="Arial"/>
          <w:color w:val="000000"/>
          <w:sz w:val="24"/>
          <w:szCs w:val="24"/>
        </w:rPr>
        <w:t>Termsak</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Chalermpalanupap</w:t>
      </w:r>
      <w:proofErr w:type="spellEnd"/>
      <w:r w:rsidRPr="005665FF">
        <w:rPr>
          <w:rFonts w:ascii="Arial" w:eastAsia="Times New Roman" w:hAnsi="Arial" w:cs="Arial"/>
          <w:color w:val="000000"/>
          <w:sz w:val="24"/>
          <w:szCs w:val="24"/>
        </w:rPr>
        <w:t xml:space="preserve">, Pham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Phuong Thao and others. ISEAS-Yusof Ishak Institute, 2019.</w:t>
      </w:r>
    </w:p>
    <w:p w14:paraId="17867E5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21" w:tgtFrame="_blank" w:history="1">
        <w:r w:rsidRPr="005665FF">
          <w:rPr>
            <w:rFonts w:ascii="Arial" w:eastAsia="Times New Roman" w:hAnsi="Arial" w:cs="Arial"/>
            <w:color w:val="1155CC"/>
            <w:sz w:val="24"/>
            <w:szCs w:val="24"/>
            <w:u w:val="single"/>
          </w:rPr>
          <w:t>https://think-asia.org/bitstream/handle/11540/9510/TheStateofSEASurveyReport_2019.pdf?sequence=1</w:t>
        </w:r>
      </w:hyperlink>
      <w:r w:rsidRPr="005665FF">
        <w:rPr>
          <w:rFonts w:ascii="Arial" w:eastAsia="Times New Roman" w:hAnsi="Arial" w:cs="Arial"/>
          <w:color w:val="000000"/>
          <w:sz w:val="24"/>
          <w:szCs w:val="24"/>
        </w:rPr>
        <w:t>.</w:t>
      </w:r>
    </w:p>
    <w:p w14:paraId="1DA9E82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A3C3FD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The ASEAN Studies Centre at ISEAS-Yusof Ishak Institute conducted the “State of Southeast Asia: 2019” online survey between 18 November and 5 December 2018 to seek the views of Southeast Asians </w:t>
      </w:r>
      <w:proofErr w:type="spellStart"/>
      <w:r w:rsidRPr="005665FF">
        <w:rPr>
          <w:rFonts w:ascii="Arial" w:eastAsia="Times New Roman" w:hAnsi="Arial" w:cs="Arial"/>
          <w:color w:val="000000"/>
          <w:sz w:val="24"/>
          <w:szCs w:val="24"/>
        </w:rPr>
        <w:t>onregional</w:t>
      </w:r>
      <w:proofErr w:type="spellEnd"/>
      <w:r w:rsidRPr="005665FF">
        <w:rPr>
          <w:rFonts w:ascii="Arial" w:eastAsia="Times New Roman" w:hAnsi="Arial" w:cs="Arial"/>
          <w:color w:val="000000"/>
          <w:sz w:val="24"/>
          <w:szCs w:val="24"/>
        </w:rPr>
        <w:t xml:space="preserve"> affairs. The survey used the purposive sampling method, canvassing views from a total of 1,008 Southeast Asians who are regional experts and stakeholders from the policy, research, business, civil society, and media communities. As such, the results of this survey are not meant to be representative. Rather, it aims to present a general view of prevailing attitudes among those in a position to inform or influence policy on regional political, economic and social issues and concerns. </w:t>
      </w:r>
      <w:proofErr w:type="gramStart"/>
      <w:r w:rsidRPr="005665FF">
        <w:rPr>
          <w:rFonts w:ascii="Arial" w:eastAsia="Times New Roman" w:hAnsi="Arial" w:cs="Arial"/>
          <w:color w:val="000000"/>
          <w:sz w:val="24"/>
          <w:szCs w:val="24"/>
        </w:rPr>
        <w:t>---  The</w:t>
      </w:r>
      <w:proofErr w:type="gramEnd"/>
      <w:r w:rsidRPr="005665FF">
        <w:rPr>
          <w:rFonts w:ascii="Arial" w:eastAsia="Times New Roman" w:hAnsi="Arial" w:cs="Arial"/>
          <w:color w:val="000000"/>
          <w:sz w:val="24"/>
          <w:szCs w:val="24"/>
        </w:rPr>
        <w:t xml:space="preserve"> survey is divided into five sections. The first section sketches out the nationality and affiliation of the respondents. Section II explores the political and economic outlook for 2019, as well as providing views on major developments in the year ahead and security concerns. Some of the issues covered in this section include the Regional Comprehensive Economic Partnership (RCEP), the Comprehensive and Progressive Agreement for Trans-Pacific Partnership (CPTPP), the US-China trade war, </w:t>
      </w:r>
      <w:proofErr w:type="spellStart"/>
      <w:r w:rsidRPr="005665FF">
        <w:rPr>
          <w:rFonts w:ascii="Arial" w:eastAsia="Times New Roman" w:hAnsi="Arial" w:cs="Arial"/>
          <w:color w:val="000000"/>
          <w:sz w:val="24"/>
          <w:szCs w:val="24"/>
        </w:rPr>
        <w:t>denuclearisation</w:t>
      </w:r>
      <w:proofErr w:type="spellEnd"/>
      <w:r w:rsidRPr="005665FF">
        <w:rPr>
          <w:rFonts w:ascii="Arial" w:eastAsia="Times New Roman" w:hAnsi="Arial" w:cs="Arial"/>
          <w:color w:val="000000"/>
          <w:sz w:val="24"/>
          <w:szCs w:val="24"/>
        </w:rPr>
        <w:t xml:space="preserve"> in the Korean Peninsula and Rohingya issue. Section III examines major power relations in the region, with a specific focus on the US and China. Section IV looks into the region’s perception of the major powers (China, the European Union, India, Japan, Russia and the US) and provides some clues as to which major power does the region trust the most (or the least). The survey concludes with Section V which looks at three aspects of soft power – tertiary education, tourism and foreign language – as proxies of the major powers’ influence in Southeast Asia.</w:t>
      </w:r>
    </w:p>
    <w:p w14:paraId="1469F7D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056D48B"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33" w:name="m_8873885906141426999__Toc2349038"/>
      <w:r w:rsidRPr="005665FF">
        <w:rPr>
          <w:rFonts w:ascii="Calibri" w:eastAsia="Times New Roman" w:hAnsi="Calibri" w:cs="Calibri"/>
          <w:b/>
          <w:bCs/>
          <w:color w:val="800000"/>
        </w:rPr>
        <w:lastRenderedPageBreak/>
        <w:t>Technology Transfer and the Promotion of Technical Skills from Japan to Southeast Asia: Case Study of Vietnam.</w:t>
      </w:r>
      <w:bookmarkEnd w:id="33"/>
    </w:p>
    <w:p w14:paraId="5E24AA9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Quynh Huong Nguyen. Journal of ASEAN Studies (JAS), 2018, volume 6, number 2.</w:t>
      </w:r>
    </w:p>
    <w:p w14:paraId="3FB24C3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22" w:tgtFrame="_blank" w:history="1">
        <w:r w:rsidRPr="005665FF">
          <w:rPr>
            <w:rFonts w:ascii="Arial" w:eastAsia="Times New Roman" w:hAnsi="Arial" w:cs="Arial"/>
            <w:color w:val="1155CC"/>
            <w:sz w:val="24"/>
            <w:szCs w:val="24"/>
            <w:u w:val="single"/>
          </w:rPr>
          <w:t>http://journal.binus.ac.id/index.php/jas/article/view/5095</w:t>
        </w:r>
      </w:hyperlink>
      <w:r w:rsidRPr="005665FF">
        <w:rPr>
          <w:rFonts w:ascii="Arial" w:eastAsia="Times New Roman" w:hAnsi="Arial" w:cs="Arial"/>
          <w:color w:val="000000"/>
          <w:sz w:val="24"/>
          <w:szCs w:val="24"/>
        </w:rPr>
        <w:t>.</w:t>
      </w:r>
    </w:p>
    <w:p w14:paraId="362375A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965A26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In this era of globalization, technology transfer is widely regarded as a significant vehicle by which developing countries can both acquire technologies and develop human resources. Also, the skills level of employees has been identified in playing a critical role in making technology transfer effective. Japan is one of the largest investors in Vietnam. Japanese foreign direct investment (FDI) projects that are large in terms of investment capital and concentrate in high technology industries, are predicted to continue to increase and they offer the promise of new employment and technology transfer opportunities for Vietnam and its people. However, the lack of a skilled labor force in Vietnam, especially in the manufacturing industry, has currently impeded the transfer of technologies from Japan to Vietnam. Human resource development in general and technical skill promotion in particular are critical requirements for Vietnam to take advantage of technology transfer. --- This paper attempts to evaluate the current situation of technical skill levels of employees in the Vietnamese manufacturing industry, as well as technology transfer from Japan to Vietnam through Japanese FDI manufacturing firms. In addition, this paper introduces the current policies and strategies of the Vietnam government in relation to technology transfer issues. It is suggested in this paper that bridging the huge gap between Japanese technical standards and the Vietnamese workforce’s technical skills definitely requires the crucial role of the Vietnamese government. The author then provides some recommendations for the government to adopt in order to upgrade technical skill levels to effectively adopt and utilize technologies transferred from Japan in the manufacturing industry.</w:t>
      </w:r>
    </w:p>
    <w:p w14:paraId="1B13D9E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03140FC"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639B4B42" w14:textId="2C96E8A0"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57A302B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3ACC562"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34" w:name="m_8873885906141426999__Toc2349039"/>
      <w:r w:rsidRPr="005665FF">
        <w:rPr>
          <w:rFonts w:ascii="Calibri" w:eastAsia="Times New Roman" w:hAnsi="Calibri" w:cs="Calibri"/>
          <w:b/>
          <w:bCs/>
          <w:color w:val="800000"/>
        </w:rPr>
        <w:t>The Determinants of Equitization Success of State-Owned Enterprises in Vietnam.</w:t>
      </w:r>
      <w:bookmarkEnd w:id="34"/>
    </w:p>
    <w:p w14:paraId="361D075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Cao </w:t>
      </w:r>
      <w:proofErr w:type="spellStart"/>
      <w:r w:rsidRPr="005665FF">
        <w:rPr>
          <w:rFonts w:ascii="Arial" w:eastAsia="Times New Roman" w:hAnsi="Arial" w:cs="Arial"/>
          <w:color w:val="000000"/>
          <w:sz w:val="24"/>
          <w:szCs w:val="24"/>
        </w:rPr>
        <w:t>Dinh</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Kien</w:t>
      </w:r>
      <w:proofErr w:type="spellEnd"/>
      <w:r w:rsidRPr="005665FF">
        <w:rPr>
          <w:rFonts w:ascii="Arial" w:eastAsia="Times New Roman" w:hAnsi="Arial" w:cs="Arial"/>
          <w:color w:val="000000"/>
          <w:sz w:val="24"/>
          <w:szCs w:val="24"/>
        </w:rPr>
        <w:t xml:space="preserve"> and Nguyen Thu Thuy. Journal of economic development, 2018, volume 20, number 3.</w:t>
      </w:r>
    </w:p>
    <w:p w14:paraId="12AF33B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23" w:tgtFrame="_blank" w:history="1">
        <w:r w:rsidRPr="005665FF">
          <w:rPr>
            <w:rFonts w:ascii="Arial" w:eastAsia="Times New Roman" w:hAnsi="Arial" w:cs="Arial"/>
            <w:color w:val="1155CC"/>
            <w:sz w:val="24"/>
            <w:szCs w:val="24"/>
            <w:u w:val="single"/>
          </w:rPr>
          <w:t>http://jed.neu.edu.vn/back-issue/volume-20-number-3-december-2018/the-determinants-of-equitization-success-of-state-owned-enterprises-in-vietnam.373650.aspx</w:t>
        </w:r>
      </w:hyperlink>
      <w:r w:rsidRPr="005665FF">
        <w:rPr>
          <w:rFonts w:ascii="Arial" w:eastAsia="Times New Roman" w:hAnsi="Arial" w:cs="Arial"/>
          <w:color w:val="000000"/>
          <w:sz w:val="24"/>
          <w:szCs w:val="24"/>
        </w:rPr>
        <w:t>.</w:t>
      </w:r>
    </w:p>
    <w:p w14:paraId="665F427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6F86241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This study aims to investigate the factors that affect the success of Vietnam’s State-owned enterprises’ (SOEs) equitization. Using a unique sample of equitization of unregulated SOEs in Vietnam from January 2010 to April 2016, we find that age, valuation, and gross margin of the SOEs are significant determinants of the success of the equitization. Specifically, in contrast with prior literature, age is found to have a negative impact on the success of the equitization. On the other hand, valuation and gross margin have a positive impact on the success of the equitization.</w:t>
      </w:r>
    </w:p>
    <w:p w14:paraId="0823D4D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1A9C679"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35" w:name="m_8873885906141426999__Toc2349040"/>
      <w:r w:rsidRPr="005665FF">
        <w:rPr>
          <w:rFonts w:ascii="Calibri" w:eastAsia="Times New Roman" w:hAnsi="Calibri" w:cs="Calibri"/>
          <w:b/>
          <w:bCs/>
          <w:color w:val="800000"/>
        </w:rPr>
        <w:t>Determinants of Firm Growth: Evidence from Vietnamese Small and Medium Sized Manufacturing Enterprises.</w:t>
      </w:r>
      <w:bookmarkEnd w:id="35"/>
    </w:p>
    <w:p w14:paraId="493005E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lang w:val="fr-FR"/>
        </w:rPr>
        <w:t xml:space="preserve">Nguyen Thu Hang, </w:t>
      </w:r>
      <w:proofErr w:type="spellStart"/>
      <w:r w:rsidRPr="005665FF">
        <w:rPr>
          <w:rFonts w:ascii="Arial" w:eastAsia="Times New Roman" w:hAnsi="Arial" w:cs="Arial"/>
          <w:color w:val="000000"/>
          <w:sz w:val="24"/>
          <w:szCs w:val="24"/>
          <w:lang w:val="fr-FR"/>
        </w:rPr>
        <w:t>Khuu</w:t>
      </w:r>
      <w:proofErr w:type="spellEnd"/>
      <w:r w:rsidRPr="005665FF">
        <w:rPr>
          <w:rFonts w:ascii="Arial" w:eastAsia="Times New Roman" w:hAnsi="Arial" w:cs="Arial"/>
          <w:color w:val="000000"/>
          <w:sz w:val="24"/>
          <w:szCs w:val="24"/>
          <w:lang w:val="fr-FR"/>
        </w:rPr>
        <w:t xml:space="preserve"> Thanh </w:t>
      </w:r>
      <w:proofErr w:type="spellStart"/>
      <w:r w:rsidRPr="005665FF">
        <w:rPr>
          <w:rFonts w:ascii="Arial" w:eastAsia="Times New Roman" w:hAnsi="Arial" w:cs="Arial"/>
          <w:color w:val="000000"/>
          <w:sz w:val="24"/>
          <w:szCs w:val="24"/>
          <w:lang w:val="fr-FR"/>
        </w:rPr>
        <w:t>Quy</w:t>
      </w:r>
      <w:proofErr w:type="spellEnd"/>
      <w:r w:rsidRPr="005665FF">
        <w:rPr>
          <w:rFonts w:ascii="Arial" w:eastAsia="Times New Roman" w:hAnsi="Arial" w:cs="Arial"/>
          <w:color w:val="000000"/>
          <w:sz w:val="24"/>
          <w:szCs w:val="24"/>
          <w:lang w:val="fr-FR"/>
        </w:rPr>
        <w:t xml:space="preserve"> and Nguyen Ngoc Dieu Le. </w:t>
      </w:r>
      <w:r w:rsidRPr="005665FF">
        <w:rPr>
          <w:rFonts w:ascii="Arial" w:eastAsia="Times New Roman" w:hAnsi="Arial" w:cs="Arial"/>
          <w:color w:val="000000"/>
          <w:sz w:val="24"/>
          <w:szCs w:val="24"/>
        </w:rPr>
        <w:t>Journal of economic development, 2018, volume 20, number 3.</w:t>
      </w:r>
    </w:p>
    <w:p w14:paraId="525EF84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24" w:tgtFrame="_blank" w:history="1">
        <w:r w:rsidRPr="005665FF">
          <w:rPr>
            <w:rFonts w:ascii="Arial" w:eastAsia="Times New Roman" w:hAnsi="Arial" w:cs="Arial"/>
            <w:color w:val="1155CC"/>
            <w:sz w:val="24"/>
            <w:szCs w:val="24"/>
            <w:u w:val="single"/>
          </w:rPr>
          <w:t>http://jed.neu.edu.vn/back-issue/volume-20-number-3-december-2018/determinants-of-firm-growth-evidence-from-vietnamese-small-and-medium-sized-manufacturing-enterprises.373652.aspx</w:t>
        </w:r>
      </w:hyperlink>
      <w:r w:rsidRPr="005665FF">
        <w:rPr>
          <w:rFonts w:ascii="Arial" w:eastAsia="Times New Roman" w:hAnsi="Arial" w:cs="Arial"/>
          <w:color w:val="000000"/>
          <w:sz w:val="24"/>
          <w:szCs w:val="24"/>
        </w:rPr>
        <w:t>.</w:t>
      </w:r>
    </w:p>
    <w:p w14:paraId="2067D70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AB1A89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Using data from a survey of small and medium scale manufacturing enterprises (SMEs) in Vietnam, this study investigates the impact of firm and owner characteristics on firm growth. The results reveal that firm size has a negative effect on firm growth, suggesting the invalidity of </w:t>
      </w:r>
      <w:proofErr w:type="spellStart"/>
      <w:r w:rsidRPr="005665FF">
        <w:rPr>
          <w:rFonts w:ascii="Arial" w:eastAsia="Times New Roman" w:hAnsi="Arial" w:cs="Arial"/>
          <w:color w:val="000000"/>
          <w:sz w:val="24"/>
          <w:szCs w:val="24"/>
        </w:rPr>
        <w:t>Gibrat’s</w:t>
      </w:r>
      <w:proofErr w:type="spellEnd"/>
      <w:r w:rsidRPr="005665FF">
        <w:rPr>
          <w:rFonts w:ascii="Arial" w:eastAsia="Times New Roman" w:hAnsi="Arial" w:cs="Arial"/>
          <w:color w:val="000000"/>
          <w:sz w:val="24"/>
          <w:szCs w:val="24"/>
        </w:rPr>
        <w:t xml:space="preserve"> Law. Moreover, the results indicate the dependence of firm growth on firm and owner attributes. Regarding firm characteristics, leverage, labor quality, training and export activities all enhance growth, while firm age is negatively associated with the growth of SMEs. As for owner characteristics, the results indicate a negative relationship between owner age and firm growth. Furthermore, female-headed firms have higher growth than male-headed firms; and highly educated owners create higher growth than those with lower levels of education.</w:t>
      </w:r>
    </w:p>
    <w:p w14:paraId="1C9EBD9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0DD38C8"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36" w:name="m_8873885906141426999__Toc2349041"/>
      <w:r w:rsidRPr="005665FF">
        <w:rPr>
          <w:rFonts w:ascii="Calibri" w:eastAsia="Times New Roman" w:hAnsi="Calibri" w:cs="Calibri"/>
          <w:b/>
          <w:bCs/>
          <w:color w:val="800000"/>
        </w:rPr>
        <w:t>Drivers of productivity in Vietnamese SMEs: The role of management standards and innovation.</w:t>
      </w:r>
      <w:bookmarkEnd w:id="36"/>
    </w:p>
    <w:p w14:paraId="11D8171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Elisa </w:t>
      </w:r>
      <w:proofErr w:type="spellStart"/>
      <w:r w:rsidRPr="005665FF">
        <w:rPr>
          <w:rFonts w:ascii="Arial" w:eastAsia="Times New Roman" w:hAnsi="Arial" w:cs="Arial"/>
          <w:color w:val="000000"/>
          <w:sz w:val="24"/>
          <w:szCs w:val="24"/>
        </w:rPr>
        <w:t>Calza</w:t>
      </w:r>
      <w:proofErr w:type="spellEnd"/>
      <w:r w:rsidRPr="005665FF">
        <w:rPr>
          <w:rFonts w:ascii="Arial" w:eastAsia="Times New Roman" w:hAnsi="Arial" w:cs="Arial"/>
          <w:color w:val="000000"/>
          <w:sz w:val="24"/>
          <w:szCs w:val="24"/>
        </w:rPr>
        <w:t xml:space="preserve">, Micheline </w:t>
      </w:r>
      <w:proofErr w:type="spellStart"/>
      <w:r w:rsidRPr="005665FF">
        <w:rPr>
          <w:rFonts w:ascii="Arial" w:eastAsia="Times New Roman" w:hAnsi="Arial" w:cs="Arial"/>
          <w:color w:val="000000"/>
          <w:sz w:val="24"/>
          <w:szCs w:val="24"/>
        </w:rPr>
        <w:t>Goedhuys</w:t>
      </w:r>
      <w:proofErr w:type="spellEnd"/>
      <w:r w:rsidRPr="005665FF">
        <w:rPr>
          <w:rFonts w:ascii="Arial" w:eastAsia="Times New Roman" w:hAnsi="Arial" w:cs="Arial"/>
          <w:color w:val="000000"/>
          <w:sz w:val="24"/>
          <w:szCs w:val="24"/>
        </w:rPr>
        <w:t xml:space="preserve"> and Neda </w:t>
      </w:r>
      <w:proofErr w:type="spellStart"/>
      <w:r w:rsidRPr="005665FF">
        <w:rPr>
          <w:rFonts w:ascii="Arial" w:eastAsia="Times New Roman" w:hAnsi="Arial" w:cs="Arial"/>
          <w:color w:val="000000"/>
          <w:sz w:val="24"/>
          <w:szCs w:val="24"/>
        </w:rPr>
        <w:t>Trifkovic</w:t>
      </w:r>
      <w:proofErr w:type="spellEnd"/>
      <w:r w:rsidRPr="005665FF">
        <w:rPr>
          <w:rFonts w:ascii="Arial" w:eastAsia="Times New Roman" w:hAnsi="Arial" w:cs="Arial"/>
          <w:color w:val="000000"/>
          <w:sz w:val="24"/>
          <w:szCs w:val="24"/>
        </w:rPr>
        <w:t>. Economics of Innovation and New Technology, 2019, volume 28, number 1.</w:t>
      </w:r>
    </w:p>
    <w:p w14:paraId="29FA9D4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E718BE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Using a rich panel dataset of small and medium scale manufacturing enterprises (SMEs) active in the manufacturing sector in Viet Nam, this paper investigates the drivers of firm productivity, focusing on the role played by international management standards certification. We test the hypothesis that, accounting for </w:t>
      </w:r>
      <w:r w:rsidRPr="005665FF">
        <w:rPr>
          <w:rFonts w:ascii="Arial" w:eastAsia="Times New Roman" w:hAnsi="Arial" w:cs="Arial"/>
          <w:color w:val="000000"/>
          <w:sz w:val="24"/>
          <w:szCs w:val="24"/>
        </w:rPr>
        <w:lastRenderedPageBreak/>
        <w:t>technological innovation (product and process) and other variables related to technological capabilities, international standards are conducive to higher productivity, through improved management practices and business organization. In line with the requirement of continuous improvement implied by most international standards, the main findings show that the possession of an internationally recognized standard certificate leads to significant productivity premium. We further find that the effect of certification on productivity is particularly strong for firms with technological innovation, located in southern provinces, and operating in more scale-intensive industries.</w:t>
      </w:r>
    </w:p>
    <w:p w14:paraId="45FC6326"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35112391" w14:textId="7E7488DC"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6D8E34C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38CDFD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E72F6B8"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37" w:name="m_8873885906141426999__Toc2349042"/>
      <w:r w:rsidRPr="005665FF">
        <w:rPr>
          <w:rFonts w:ascii="Calibri" w:eastAsia="Times New Roman" w:hAnsi="Calibri" w:cs="Calibri"/>
          <w:b/>
          <w:bCs/>
          <w:color w:val="800000"/>
        </w:rPr>
        <w:t>Earnings Quality and Corporate Social Disclosure: The Moderating Role of State and Foreign Ownership in Vietnamese Listed Firms.</w:t>
      </w:r>
      <w:bookmarkEnd w:id="37"/>
    </w:p>
    <w:p w14:paraId="2B6FC79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Trang Cam Hoang, Indra </w:t>
      </w:r>
      <w:proofErr w:type="spellStart"/>
      <w:r w:rsidRPr="005665FF">
        <w:rPr>
          <w:rFonts w:ascii="Arial" w:eastAsia="Times New Roman" w:hAnsi="Arial" w:cs="Arial"/>
          <w:color w:val="000000"/>
          <w:sz w:val="24"/>
          <w:szCs w:val="24"/>
        </w:rPr>
        <w:t>Abeysekera</w:t>
      </w:r>
      <w:proofErr w:type="spellEnd"/>
      <w:r w:rsidRPr="005665FF">
        <w:rPr>
          <w:rFonts w:ascii="Arial" w:eastAsia="Times New Roman" w:hAnsi="Arial" w:cs="Arial"/>
          <w:color w:val="000000"/>
          <w:sz w:val="24"/>
          <w:szCs w:val="24"/>
        </w:rPr>
        <w:t xml:space="preserve"> and </w:t>
      </w:r>
      <w:proofErr w:type="spellStart"/>
      <w:r w:rsidRPr="005665FF">
        <w:rPr>
          <w:rFonts w:ascii="Arial" w:eastAsia="Times New Roman" w:hAnsi="Arial" w:cs="Arial"/>
          <w:color w:val="000000"/>
          <w:sz w:val="24"/>
          <w:szCs w:val="24"/>
        </w:rPr>
        <w:t>Shiguang</w:t>
      </w:r>
      <w:proofErr w:type="spellEnd"/>
      <w:r w:rsidRPr="005665FF">
        <w:rPr>
          <w:rFonts w:ascii="Arial" w:eastAsia="Times New Roman" w:hAnsi="Arial" w:cs="Arial"/>
          <w:color w:val="000000"/>
          <w:sz w:val="24"/>
          <w:szCs w:val="24"/>
        </w:rPr>
        <w:t xml:space="preserve"> Ma. Emerging Markets Finance and Trade, 2019, volume 55, number 2.</w:t>
      </w:r>
    </w:p>
    <w:p w14:paraId="7A49928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387EDC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By investigating the effect of earnings quality (EQ) on corporate social disclosure (CSD) in the context of Vietnam, this study tests whether firms uphold managerial opportunism based on the agency theory or social responsibility based on stakeholder theory. It also tests the moderating effect of state and foreign ownership on the relationship between EQ and CSD. This study finds that the long-term perspective argument dominates in the relationship between EQ and CSD, indicating that EQ is positively and significantly associated with CSD. The study also finds that the increasing proportion of shares held by the government in firms weakens the relationship between EQ and CSD.</w:t>
      </w:r>
    </w:p>
    <w:p w14:paraId="40B910B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6C2B285"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38" w:name="m_8873885906141426999__Toc2349043"/>
      <w:r w:rsidRPr="005665FF">
        <w:rPr>
          <w:rFonts w:ascii="Calibri" w:eastAsia="Times New Roman" w:hAnsi="Calibri" w:cs="Calibri"/>
          <w:b/>
          <w:bCs/>
          <w:color w:val="800000"/>
        </w:rPr>
        <w:t>Entrepreneurial Human Capital, Innovation and Productivity in Small and Medium Manufacturing Enterprises in Vietnam.</w:t>
      </w:r>
      <w:bookmarkEnd w:id="38"/>
    </w:p>
    <w:p w14:paraId="464745B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Souksavanh</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Vixathep</w:t>
      </w:r>
      <w:proofErr w:type="spellEnd"/>
      <w:r w:rsidRPr="005665FF">
        <w:rPr>
          <w:rFonts w:ascii="Arial" w:eastAsia="Times New Roman" w:hAnsi="Arial" w:cs="Arial"/>
          <w:color w:val="000000"/>
          <w:sz w:val="24"/>
          <w:szCs w:val="24"/>
        </w:rPr>
        <w:t>, Van Khoi Luong and Nobuaki Matsunaga. in: Innovation in Developing Countries: Lessons from Vietnam and Laos, Springer Singapore, Singapore, 2019, pp. 53-76.</w:t>
      </w:r>
    </w:p>
    <w:p w14:paraId="374AA6E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5F16D1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chapter examines the impact of entrepreneurial human </w:t>
      </w:r>
      <w:proofErr w:type="spellStart"/>
      <w:r w:rsidRPr="005665FF">
        <w:rPr>
          <w:rFonts w:ascii="Arial" w:eastAsia="Times New Roman" w:hAnsi="Arial" w:cs="Arial"/>
          <w:color w:val="000000"/>
          <w:sz w:val="24"/>
          <w:szCs w:val="24"/>
        </w:rPr>
        <w:t>capitalHuman</w:t>
      </w:r>
      <w:proofErr w:type="spellEnd"/>
      <w:r w:rsidRPr="005665FF">
        <w:rPr>
          <w:rFonts w:ascii="Arial" w:eastAsia="Times New Roman" w:hAnsi="Arial" w:cs="Arial"/>
          <w:color w:val="000000"/>
          <w:sz w:val="24"/>
          <w:szCs w:val="24"/>
        </w:rPr>
        <w:t xml:space="preserve"> capital(education) on product and process </w:t>
      </w:r>
      <w:proofErr w:type="spellStart"/>
      <w:r w:rsidRPr="005665FF">
        <w:rPr>
          <w:rFonts w:ascii="Arial" w:eastAsia="Times New Roman" w:hAnsi="Arial" w:cs="Arial"/>
          <w:color w:val="000000"/>
          <w:sz w:val="24"/>
          <w:szCs w:val="24"/>
        </w:rPr>
        <w:t>innovationProcess</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innovationand</w:t>
      </w:r>
      <w:proofErr w:type="spellEnd"/>
      <w:r w:rsidRPr="005665FF">
        <w:rPr>
          <w:rFonts w:ascii="Arial" w:eastAsia="Times New Roman" w:hAnsi="Arial" w:cs="Arial"/>
          <w:color w:val="000000"/>
          <w:sz w:val="24"/>
          <w:szCs w:val="24"/>
        </w:rPr>
        <w:t xml:space="preserve"> </w:t>
      </w:r>
      <w:proofErr w:type="spellStart"/>
      <w:proofErr w:type="gramStart"/>
      <w:r w:rsidRPr="005665FF">
        <w:rPr>
          <w:rFonts w:ascii="Arial" w:eastAsia="Times New Roman" w:hAnsi="Arial" w:cs="Arial"/>
          <w:color w:val="000000"/>
          <w:sz w:val="24"/>
          <w:szCs w:val="24"/>
        </w:rPr>
        <w:lastRenderedPageBreak/>
        <w:t>productivityProductivity</w:t>
      </w:r>
      <w:proofErr w:type="spellEnd"/>
      <w:r w:rsidRPr="005665FF">
        <w:rPr>
          <w:rFonts w:ascii="Arial" w:eastAsia="Times New Roman" w:hAnsi="Arial" w:cs="Arial"/>
          <w:color w:val="000000"/>
          <w:sz w:val="24"/>
          <w:szCs w:val="24"/>
        </w:rPr>
        <w:t>(</w:t>
      </w:r>
      <w:proofErr w:type="gramEnd"/>
      <w:r w:rsidRPr="005665FF">
        <w:rPr>
          <w:rFonts w:ascii="Arial" w:eastAsia="Times New Roman" w:hAnsi="Arial" w:cs="Arial"/>
          <w:color w:val="000000"/>
          <w:sz w:val="24"/>
          <w:szCs w:val="24"/>
        </w:rPr>
        <w:t xml:space="preserve">total factor </w:t>
      </w:r>
      <w:proofErr w:type="spellStart"/>
      <w:r w:rsidRPr="005665FF">
        <w:rPr>
          <w:rFonts w:ascii="Arial" w:eastAsia="Times New Roman" w:hAnsi="Arial" w:cs="Arial"/>
          <w:color w:val="000000"/>
          <w:sz w:val="24"/>
          <w:szCs w:val="24"/>
        </w:rPr>
        <w:t>productivityTotal</w:t>
      </w:r>
      <w:proofErr w:type="spellEnd"/>
      <w:r w:rsidRPr="005665FF">
        <w:rPr>
          <w:rFonts w:ascii="Arial" w:eastAsia="Times New Roman" w:hAnsi="Arial" w:cs="Arial"/>
          <w:color w:val="000000"/>
          <w:sz w:val="24"/>
          <w:szCs w:val="24"/>
        </w:rPr>
        <w:t xml:space="preserve"> Factor Productivity (TFP)) in Vietnam’s </w:t>
      </w:r>
      <w:proofErr w:type="spellStart"/>
      <w:r w:rsidRPr="005665FF">
        <w:rPr>
          <w:rFonts w:ascii="Arial" w:eastAsia="Times New Roman" w:hAnsi="Arial" w:cs="Arial"/>
          <w:color w:val="000000"/>
          <w:sz w:val="24"/>
          <w:szCs w:val="24"/>
        </w:rPr>
        <w:t>SMEsSmall</w:t>
      </w:r>
      <w:proofErr w:type="spellEnd"/>
      <w:r w:rsidRPr="005665FF">
        <w:rPr>
          <w:rFonts w:ascii="Arial" w:eastAsia="Times New Roman" w:hAnsi="Arial" w:cs="Arial"/>
          <w:color w:val="000000"/>
          <w:sz w:val="24"/>
          <w:szCs w:val="24"/>
        </w:rPr>
        <w:t xml:space="preserve">- and Medium-sized Enterprises (SMEs). The analysis applies primary data obtained from a questionnaire survey of manufacturing SMEs in Hanoi in 2014 on a </w:t>
      </w:r>
      <w:proofErr w:type="spellStart"/>
      <w:r w:rsidRPr="005665FF">
        <w:rPr>
          <w:rFonts w:ascii="Arial" w:eastAsia="Times New Roman" w:hAnsi="Arial" w:cs="Arial"/>
          <w:color w:val="000000"/>
          <w:sz w:val="24"/>
          <w:szCs w:val="24"/>
        </w:rPr>
        <w:t>probit</w:t>
      </w:r>
      <w:proofErr w:type="spellEnd"/>
      <w:r w:rsidRPr="005665FF">
        <w:rPr>
          <w:rFonts w:ascii="Arial" w:eastAsia="Times New Roman" w:hAnsi="Arial" w:cs="Arial"/>
          <w:color w:val="000000"/>
          <w:sz w:val="24"/>
          <w:szCs w:val="24"/>
        </w:rPr>
        <w:t xml:space="preserve"> model and interview surveys in various industrial cities. The samples used for the analysis include 440 observations and covers 17 subsectors of the manufacturing industry. The analysis reveals that (1) entrepreneur’s education at the college or higher level stimulates </w:t>
      </w:r>
      <w:proofErr w:type="spellStart"/>
      <w:r w:rsidRPr="005665FF">
        <w:rPr>
          <w:rFonts w:ascii="Arial" w:eastAsia="Times New Roman" w:hAnsi="Arial" w:cs="Arial"/>
          <w:color w:val="000000"/>
          <w:sz w:val="24"/>
          <w:szCs w:val="24"/>
        </w:rPr>
        <w:t>innovationInnovation</w:t>
      </w:r>
      <w:proofErr w:type="spellEnd"/>
      <w:r w:rsidRPr="005665FF">
        <w:rPr>
          <w:rFonts w:ascii="Arial" w:eastAsia="Times New Roman" w:hAnsi="Arial" w:cs="Arial"/>
          <w:color w:val="000000"/>
          <w:sz w:val="24"/>
          <w:szCs w:val="24"/>
        </w:rPr>
        <w:t xml:space="preserve">, while backward technology applied in the firm appears to be hindrance to </w:t>
      </w:r>
      <w:proofErr w:type="spellStart"/>
      <w:r w:rsidRPr="005665FF">
        <w:rPr>
          <w:rFonts w:ascii="Arial" w:eastAsia="Times New Roman" w:hAnsi="Arial" w:cs="Arial"/>
          <w:color w:val="000000"/>
          <w:sz w:val="24"/>
          <w:szCs w:val="24"/>
        </w:rPr>
        <w:t>innovationInnovation</w:t>
      </w:r>
      <w:proofErr w:type="spellEnd"/>
      <w:r w:rsidRPr="005665FF">
        <w:rPr>
          <w:rFonts w:ascii="Arial" w:eastAsia="Times New Roman" w:hAnsi="Arial" w:cs="Arial"/>
          <w:color w:val="000000"/>
          <w:sz w:val="24"/>
          <w:szCs w:val="24"/>
        </w:rPr>
        <w:t xml:space="preserve">; (2) firm experience, represented by the age of a firm, is associated with higher </w:t>
      </w:r>
      <w:proofErr w:type="spellStart"/>
      <w:r w:rsidRPr="005665FF">
        <w:rPr>
          <w:rFonts w:ascii="Arial" w:eastAsia="Times New Roman" w:hAnsi="Arial" w:cs="Arial"/>
          <w:color w:val="000000"/>
          <w:sz w:val="24"/>
          <w:szCs w:val="24"/>
        </w:rPr>
        <w:t>innovationInnovationprobability</w:t>
      </w:r>
      <w:proofErr w:type="spellEnd"/>
      <w:r w:rsidRPr="005665FF">
        <w:rPr>
          <w:rFonts w:ascii="Arial" w:eastAsia="Times New Roman" w:hAnsi="Arial" w:cs="Arial"/>
          <w:color w:val="000000"/>
          <w:sz w:val="24"/>
          <w:szCs w:val="24"/>
        </w:rPr>
        <w:t xml:space="preserve">, yet it does not significantly enhance firm </w:t>
      </w:r>
      <w:proofErr w:type="spellStart"/>
      <w:r w:rsidRPr="005665FF">
        <w:rPr>
          <w:rFonts w:ascii="Arial" w:eastAsia="Times New Roman" w:hAnsi="Arial" w:cs="Arial"/>
          <w:color w:val="000000"/>
          <w:sz w:val="24"/>
          <w:szCs w:val="24"/>
        </w:rPr>
        <w:t>productivity;Productivityand</w:t>
      </w:r>
      <w:proofErr w:type="spellEnd"/>
      <w:r w:rsidRPr="005665FF">
        <w:rPr>
          <w:rFonts w:ascii="Arial" w:eastAsia="Times New Roman" w:hAnsi="Arial" w:cs="Arial"/>
          <w:color w:val="000000"/>
          <w:sz w:val="24"/>
          <w:szCs w:val="24"/>
        </w:rPr>
        <w:t xml:space="preserve"> (3) ownership types of firm and industrial sectors reveal mixed results in terms of </w:t>
      </w:r>
      <w:proofErr w:type="spellStart"/>
      <w:r w:rsidRPr="005665FF">
        <w:rPr>
          <w:rFonts w:ascii="Arial" w:eastAsia="Times New Roman" w:hAnsi="Arial" w:cs="Arial"/>
          <w:color w:val="000000"/>
          <w:sz w:val="24"/>
          <w:szCs w:val="24"/>
        </w:rPr>
        <w:t>innovationInnovationand</w:t>
      </w:r>
      <w:proofErr w:type="spellEnd"/>
      <w:r w:rsidRPr="005665FF">
        <w:rPr>
          <w:rFonts w:ascii="Arial" w:eastAsia="Times New Roman" w:hAnsi="Arial" w:cs="Arial"/>
          <w:color w:val="000000"/>
          <w:sz w:val="24"/>
          <w:szCs w:val="24"/>
        </w:rPr>
        <w:t xml:space="preserve"> successful </w:t>
      </w:r>
      <w:proofErr w:type="spellStart"/>
      <w:r w:rsidRPr="005665FF">
        <w:rPr>
          <w:rFonts w:ascii="Arial" w:eastAsia="Times New Roman" w:hAnsi="Arial" w:cs="Arial"/>
          <w:color w:val="000000"/>
          <w:sz w:val="24"/>
          <w:szCs w:val="24"/>
        </w:rPr>
        <w:t>entrepreneurshipEntrepreneurship</w:t>
      </w:r>
      <w:proofErr w:type="spellEnd"/>
      <w:r w:rsidRPr="005665FF">
        <w:rPr>
          <w:rFonts w:ascii="Arial" w:eastAsia="Times New Roman" w:hAnsi="Arial" w:cs="Arial"/>
          <w:color w:val="000000"/>
          <w:sz w:val="24"/>
          <w:szCs w:val="24"/>
        </w:rPr>
        <w:t xml:space="preserve">. The findings confirm the importance of human </w:t>
      </w:r>
      <w:proofErr w:type="spellStart"/>
      <w:r w:rsidRPr="005665FF">
        <w:rPr>
          <w:rFonts w:ascii="Arial" w:eastAsia="Times New Roman" w:hAnsi="Arial" w:cs="Arial"/>
          <w:color w:val="000000"/>
          <w:sz w:val="24"/>
          <w:szCs w:val="24"/>
        </w:rPr>
        <w:t>capitalHuman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capitalin</w:t>
      </w:r>
      <w:proofErr w:type="spellEnd"/>
      <w:r w:rsidRPr="005665FF">
        <w:rPr>
          <w:rFonts w:ascii="Arial" w:eastAsia="Times New Roman" w:hAnsi="Arial" w:cs="Arial"/>
          <w:color w:val="000000"/>
          <w:sz w:val="24"/>
          <w:szCs w:val="24"/>
        </w:rPr>
        <w:t xml:space="preserve"> promoting </w:t>
      </w:r>
      <w:proofErr w:type="spellStart"/>
      <w:r w:rsidRPr="005665FF">
        <w:rPr>
          <w:rFonts w:ascii="Arial" w:eastAsia="Times New Roman" w:hAnsi="Arial" w:cs="Arial"/>
          <w:color w:val="000000"/>
          <w:sz w:val="24"/>
          <w:szCs w:val="24"/>
        </w:rPr>
        <w:t>innovationInnovationand</w:t>
      </w:r>
      <w:proofErr w:type="spellEnd"/>
      <w:r w:rsidRPr="005665FF">
        <w:rPr>
          <w:rFonts w:ascii="Arial" w:eastAsia="Times New Roman" w:hAnsi="Arial" w:cs="Arial"/>
          <w:color w:val="000000"/>
          <w:sz w:val="24"/>
          <w:szCs w:val="24"/>
        </w:rPr>
        <w:t xml:space="preserve"> fostering </w:t>
      </w:r>
      <w:proofErr w:type="spellStart"/>
      <w:r w:rsidRPr="005665FF">
        <w:rPr>
          <w:rFonts w:ascii="Arial" w:eastAsia="Times New Roman" w:hAnsi="Arial" w:cs="Arial"/>
          <w:color w:val="000000"/>
          <w:sz w:val="24"/>
          <w:szCs w:val="24"/>
        </w:rPr>
        <w:t>productivityProductivityenhancement</w:t>
      </w:r>
      <w:proofErr w:type="spellEnd"/>
      <w:r w:rsidRPr="005665FF">
        <w:rPr>
          <w:rFonts w:ascii="Arial" w:eastAsia="Times New Roman" w:hAnsi="Arial" w:cs="Arial"/>
          <w:color w:val="000000"/>
          <w:sz w:val="24"/>
          <w:szCs w:val="24"/>
        </w:rPr>
        <w:t xml:space="preserve"> at the firm level, and pertain to the human resource development and entrepreneurial human </w:t>
      </w:r>
      <w:proofErr w:type="spellStart"/>
      <w:r w:rsidRPr="005665FF">
        <w:rPr>
          <w:rFonts w:ascii="Arial" w:eastAsia="Times New Roman" w:hAnsi="Arial" w:cs="Arial"/>
          <w:color w:val="000000"/>
          <w:sz w:val="24"/>
          <w:szCs w:val="24"/>
        </w:rPr>
        <w:t>capitalHuman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capitalin</w:t>
      </w:r>
      <w:proofErr w:type="spellEnd"/>
      <w:r w:rsidRPr="005665FF">
        <w:rPr>
          <w:rFonts w:ascii="Arial" w:eastAsia="Times New Roman" w:hAnsi="Arial" w:cs="Arial"/>
          <w:color w:val="000000"/>
          <w:sz w:val="24"/>
          <w:szCs w:val="24"/>
        </w:rPr>
        <w:t xml:space="preserve"> enterprise development.</w:t>
      </w:r>
    </w:p>
    <w:p w14:paraId="59F3EE2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18F97EB"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7E03B789" w14:textId="2CC41533"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6FA5088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94492A3"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39" w:name="m_8873885906141426999__Toc2349044"/>
      <w:r w:rsidRPr="005665FF">
        <w:rPr>
          <w:rFonts w:ascii="Calibri" w:eastAsia="Times New Roman" w:hAnsi="Calibri" w:cs="Calibri"/>
          <w:b/>
          <w:bCs/>
          <w:color w:val="800000"/>
        </w:rPr>
        <w:t>Fostering Entrepreneurship among Academia: A Study of Vietnamese Scientist Commercialization.</w:t>
      </w:r>
      <w:bookmarkEnd w:id="39"/>
    </w:p>
    <w:p w14:paraId="46BA333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Nguyen Van Thang, Nguyen </w:t>
      </w:r>
      <w:proofErr w:type="spellStart"/>
      <w:r w:rsidRPr="005665FF">
        <w:rPr>
          <w:rFonts w:ascii="Arial" w:eastAsia="Times New Roman" w:hAnsi="Arial" w:cs="Arial"/>
          <w:color w:val="000000"/>
          <w:sz w:val="24"/>
          <w:szCs w:val="24"/>
        </w:rPr>
        <w:t>Tuong</w:t>
      </w:r>
      <w:proofErr w:type="spellEnd"/>
      <w:r w:rsidRPr="005665FF">
        <w:rPr>
          <w:rFonts w:ascii="Arial" w:eastAsia="Times New Roman" w:hAnsi="Arial" w:cs="Arial"/>
          <w:color w:val="000000"/>
          <w:sz w:val="24"/>
          <w:szCs w:val="24"/>
        </w:rPr>
        <w:t xml:space="preserve"> Lan and Nguyen Ba </w:t>
      </w:r>
      <w:proofErr w:type="spellStart"/>
      <w:r w:rsidRPr="005665FF">
        <w:rPr>
          <w:rFonts w:ascii="Arial" w:eastAsia="Times New Roman" w:hAnsi="Arial" w:cs="Arial"/>
          <w:color w:val="000000"/>
          <w:sz w:val="24"/>
          <w:szCs w:val="24"/>
        </w:rPr>
        <w:t>Nham</w:t>
      </w:r>
      <w:proofErr w:type="spellEnd"/>
      <w:r w:rsidRPr="005665FF">
        <w:rPr>
          <w:rFonts w:ascii="Arial" w:eastAsia="Times New Roman" w:hAnsi="Arial" w:cs="Arial"/>
          <w:color w:val="000000"/>
          <w:sz w:val="24"/>
          <w:szCs w:val="24"/>
        </w:rPr>
        <w:t>. Journal of economic development, 2018, volume 20, number 3.</w:t>
      </w:r>
    </w:p>
    <w:p w14:paraId="704C4B3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25" w:tgtFrame="_blank" w:history="1">
        <w:r w:rsidRPr="005665FF">
          <w:rPr>
            <w:rFonts w:ascii="Arial" w:eastAsia="Times New Roman" w:hAnsi="Arial" w:cs="Arial"/>
            <w:color w:val="1155CC"/>
            <w:sz w:val="24"/>
            <w:szCs w:val="24"/>
            <w:u w:val="single"/>
          </w:rPr>
          <w:t>http://jed.neu.edu.vn/back-issue/volume-20-number-3-december-2018/fostering-entrepreneurship-among-academia-a-study-of-vietnamese-scientist-commercialization.373653.aspx</w:t>
        </w:r>
      </w:hyperlink>
      <w:r w:rsidRPr="005665FF">
        <w:rPr>
          <w:rFonts w:ascii="Arial" w:eastAsia="Times New Roman" w:hAnsi="Arial" w:cs="Arial"/>
          <w:color w:val="000000"/>
          <w:sz w:val="24"/>
          <w:szCs w:val="24"/>
        </w:rPr>
        <w:t>.</w:t>
      </w:r>
    </w:p>
    <w:p w14:paraId="39EEE66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D09104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Commercialization of scientists’ inventions greatly contributes to the development of a country, yet the success ratio of this process is very low. Besides, research results on commercialization in developed countries are not readily applicable to Vietnam where the market institution has not been well functioning. This research examines the commercialization of scientists’ inventions in Vietnam (hereafter, scientist commercialization). The objectives are to identify factors that influence Vietnamese scientist commercialization. Drawing on networking, leadership, and motivation theories and data from a sample of scientists working at the Vietnam Academy of Science and Technology, the study shows that access to research funding, networking with businesses, leaders’ experience, and pecuniary and prosocial motivation are positively </w:t>
      </w:r>
      <w:r w:rsidRPr="005665FF">
        <w:rPr>
          <w:rFonts w:ascii="Arial" w:eastAsia="Times New Roman" w:hAnsi="Arial" w:cs="Arial"/>
          <w:color w:val="000000"/>
          <w:sz w:val="24"/>
          <w:szCs w:val="24"/>
        </w:rPr>
        <w:lastRenderedPageBreak/>
        <w:t>related to commercialization. The results shed light on the theoretical development of commercialization in developing countries. The research also discusses practical implications for promoting scientist commercialization in Vietnam.</w:t>
      </w:r>
    </w:p>
    <w:p w14:paraId="7FC1282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02DAC18"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40" w:name="m_8873885906141426999__Toc2349045"/>
      <w:r w:rsidRPr="005665FF">
        <w:rPr>
          <w:rFonts w:ascii="Calibri" w:eastAsia="Times New Roman" w:hAnsi="Calibri" w:cs="Calibri"/>
          <w:b/>
          <w:bCs/>
          <w:color w:val="800000"/>
        </w:rPr>
        <w:t>Globalization and State Capitalism: Assessing Vietnam's Accession to the WTO.</w:t>
      </w:r>
      <w:bookmarkEnd w:id="40"/>
    </w:p>
    <w:p w14:paraId="632FE56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Leonardo </w:t>
      </w:r>
      <w:proofErr w:type="spellStart"/>
      <w:r w:rsidRPr="005665FF">
        <w:rPr>
          <w:rFonts w:ascii="Arial" w:eastAsia="Times New Roman" w:hAnsi="Arial" w:cs="Arial"/>
          <w:color w:val="000000"/>
          <w:sz w:val="24"/>
          <w:szCs w:val="24"/>
        </w:rPr>
        <w:t>Baccini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Giammario</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Impullitti</w:t>
      </w:r>
      <w:proofErr w:type="spellEnd"/>
      <w:r w:rsidRPr="005665FF">
        <w:rPr>
          <w:rFonts w:ascii="Arial" w:eastAsia="Times New Roman" w:hAnsi="Arial" w:cs="Arial"/>
          <w:color w:val="000000"/>
          <w:sz w:val="24"/>
          <w:szCs w:val="24"/>
        </w:rPr>
        <w:t xml:space="preserve"> and Edmund J. </w:t>
      </w:r>
      <w:proofErr w:type="spellStart"/>
      <w:r w:rsidRPr="005665FF">
        <w:rPr>
          <w:rFonts w:ascii="Arial" w:eastAsia="Times New Roman" w:hAnsi="Arial" w:cs="Arial"/>
          <w:color w:val="000000"/>
          <w:sz w:val="24"/>
          <w:szCs w:val="24"/>
        </w:rPr>
        <w:t>Malesky</w:t>
      </w:r>
      <w:proofErr w:type="spellEnd"/>
      <w:r w:rsidRPr="005665FF">
        <w:rPr>
          <w:rFonts w:ascii="Arial" w:eastAsia="Times New Roman" w:hAnsi="Arial" w:cs="Arial"/>
          <w:color w:val="000000"/>
          <w:sz w:val="24"/>
          <w:szCs w:val="24"/>
        </w:rPr>
        <w:t>. LSE Centre for Economic Performance (CEP) Discussion Papers no. 1593, 2019.</w:t>
      </w:r>
    </w:p>
    <w:p w14:paraId="3F81056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26" w:tgtFrame="_blank" w:history="1">
        <w:r w:rsidRPr="005665FF">
          <w:rPr>
            <w:rFonts w:ascii="Arial" w:eastAsia="Times New Roman" w:hAnsi="Arial" w:cs="Arial"/>
            <w:color w:val="1155CC"/>
            <w:sz w:val="24"/>
            <w:szCs w:val="24"/>
            <w:u w:val="single"/>
          </w:rPr>
          <w:t>http://cep.lse.ac.uk/pubs/download/dp1593.pdf</w:t>
        </w:r>
      </w:hyperlink>
      <w:r w:rsidRPr="005665FF">
        <w:rPr>
          <w:rFonts w:ascii="Arial" w:eastAsia="Times New Roman" w:hAnsi="Arial" w:cs="Arial"/>
          <w:color w:val="000000"/>
          <w:sz w:val="24"/>
          <w:szCs w:val="24"/>
        </w:rPr>
        <w:t>.</w:t>
      </w:r>
    </w:p>
    <w:p w14:paraId="53B8F77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9FB63A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What do state-owned enterprises (SOEs) do? How do they respond to market incentives? Can we expect substantial efficiency gains from trade liberalization in economies with a strong presence of SOEs? Using a new dataset of Vietnamese </w:t>
      </w:r>
      <w:proofErr w:type="gramStart"/>
      <w:r w:rsidRPr="005665FF">
        <w:rPr>
          <w:rFonts w:ascii="Arial" w:eastAsia="Times New Roman" w:hAnsi="Arial" w:cs="Arial"/>
          <w:color w:val="000000"/>
          <w:sz w:val="24"/>
          <w:szCs w:val="24"/>
        </w:rPr>
        <w:t>firms</w:t>
      </w:r>
      <w:proofErr w:type="gramEnd"/>
      <w:r w:rsidRPr="005665FF">
        <w:rPr>
          <w:rFonts w:ascii="Arial" w:eastAsia="Times New Roman" w:hAnsi="Arial" w:cs="Arial"/>
          <w:color w:val="000000"/>
          <w:sz w:val="24"/>
          <w:szCs w:val="24"/>
        </w:rPr>
        <w:t xml:space="preserve"> we document a set of empirical regularities distinguishing SOEs from private firms. Then we empirically study the effect of the 2007 WTO accession on selection, competition, and productivity. Our results show that WTO entry is associated with higher probability of exit, lower firm profitability, and substantial increases in productivity for private firms but not for SOEs. Our estimates suggest that the overall productivity gains would have been about 40% larger in a counterfactual Vietnamese economy without SOEs. We highlight some economic mechanisms possibly driving these findings through the lenses of a model of trade with heterogeneous private and state-owned firms. The model suggests that political/regulatory barriers to entry and access to credit are key drivers of the different response of SOEs to trade liberalization. Further empirical tests broadly validate these insights.</w:t>
      </w:r>
    </w:p>
    <w:p w14:paraId="3C2AF76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762F0E1"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41" w:name="m_8873885906141426999__Toc2349046"/>
      <w:r w:rsidRPr="005665FF">
        <w:rPr>
          <w:rFonts w:ascii="Calibri" w:eastAsia="Times New Roman" w:hAnsi="Calibri" w:cs="Calibri"/>
          <w:b/>
          <w:bCs/>
          <w:color w:val="800000"/>
        </w:rPr>
        <w:t>Network ties and export propensity of Vietnamese small and medium enterprises.</w:t>
      </w:r>
      <w:bookmarkEnd w:id="41"/>
    </w:p>
    <w:p w14:paraId="09BFD13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Huong T.X. Nguyen and Viet Le. Asia Pacific Business Review, 2019, volume 25, number 1.</w:t>
      </w:r>
    </w:p>
    <w:p w14:paraId="1ECAE16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836413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This paper investigates the impacts of different network ties on export propensity of Vietnamese small and medium enterprises (SMEs) in the manufacturing sector. Using data from a survey of over 2,600 manufacturing SMEs in 2015, we found that social networks contribute positively to the export propensity of SMEs, while the size of business networks negatively associates with the likelihood of export. However, bank networks and political networks are not significant for the propensity to export of Vietnamese SMEs. We discuss the results in detail and offer recommendations for SME owners, managers and policy makers.</w:t>
      </w:r>
    </w:p>
    <w:p w14:paraId="04711DD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625C6FC5"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0293B8A6" w14:textId="0F38C358"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781F7A7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AAA0FFB"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42" w:name="m_8873885906141426999__Toc2349047"/>
      <w:proofErr w:type="spellStart"/>
      <w:r w:rsidRPr="005665FF">
        <w:rPr>
          <w:rFonts w:ascii="Calibri" w:eastAsia="Times New Roman" w:hAnsi="Calibri" w:cs="Calibri"/>
          <w:b/>
          <w:bCs/>
          <w:color w:val="800000"/>
        </w:rPr>
        <w:t>Organisational</w:t>
      </w:r>
      <w:proofErr w:type="spellEnd"/>
      <w:r w:rsidRPr="005665FF">
        <w:rPr>
          <w:rFonts w:ascii="Calibri" w:eastAsia="Times New Roman" w:hAnsi="Calibri" w:cs="Calibri"/>
          <w:b/>
          <w:bCs/>
          <w:color w:val="800000"/>
        </w:rPr>
        <w:t xml:space="preserve"> Innovation by Manufacturing SMEs in Vietnam.</w:t>
      </w:r>
      <w:bookmarkEnd w:id="42"/>
    </w:p>
    <w:p w14:paraId="1933FE8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Kana </w:t>
      </w:r>
      <w:proofErr w:type="spellStart"/>
      <w:r w:rsidRPr="005665FF">
        <w:rPr>
          <w:rFonts w:ascii="Arial" w:eastAsia="Times New Roman" w:hAnsi="Arial" w:cs="Arial"/>
          <w:color w:val="000000"/>
          <w:sz w:val="24"/>
          <w:szCs w:val="24"/>
        </w:rPr>
        <w:t>Haraguchi</w:t>
      </w:r>
      <w:proofErr w:type="spellEnd"/>
      <w:r w:rsidRPr="005665FF">
        <w:rPr>
          <w:rFonts w:ascii="Arial" w:eastAsia="Times New Roman" w:hAnsi="Arial" w:cs="Arial"/>
          <w:color w:val="000000"/>
          <w:sz w:val="24"/>
          <w:szCs w:val="24"/>
        </w:rPr>
        <w:t>. in: Innovation in Developing Countries: Lessons from Vietnam and Laos, Springer Singapore, Singapore, 2019, pp. 77-98.</w:t>
      </w:r>
    </w:p>
    <w:p w14:paraId="7AB9566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3350FA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chapter focuses on </w:t>
      </w:r>
      <w:proofErr w:type="spellStart"/>
      <w:r w:rsidRPr="005665FF">
        <w:rPr>
          <w:rFonts w:ascii="Arial" w:eastAsia="Times New Roman" w:hAnsi="Arial" w:cs="Arial"/>
          <w:color w:val="000000"/>
          <w:sz w:val="24"/>
          <w:szCs w:val="24"/>
        </w:rPr>
        <w:t>organisational</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innovationOrganisational</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innovationin</w:t>
      </w:r>
      <w:proofErr w:type="spellEnd"/>
      <w:r w:rsidRPr="005665FF">
        <w:rPr>
          <w:rFonts w:ascii="Arial" w:eastAsia="Times New Roman" w:hAnsi="Arial" w:cs="Arial"/>
          <w:color w:val="000000"/>
          <w:sz w:val="24"/>
          <w:szCs w:val="24"/>
        </w:rPr>
        <w:t xml:space="preserve"> Vietnam’s private domestic </w:t>
      </w:r>
      <w:proofErr w:type="spellStart"/>
      <w:r w:rsidRPr="005665FF">
        <w:rPr>
          <w:rFonts w:ascii="Arial" w:eastAsia="Times New Roman" w:hAnsi="Arial" w:cs="Arial"/>
          <w:color w:val="000000"/>
          <w:sz w:val="24"/>
          <w:szCs w:val="24"/>
        </w:rPr>
        <w:t>SMEsSmall</w:t>
      </w:r>
      <w:proofErr w:type="spellEnd"/>
      <w:r w:rsidRPr="005665FF">
        <w:rPr>
          <w:rFonts w:ascii="Arial" w:eastAsia="Times New Roman" w:hAnsi="Arial" w:cs="Arial"/>
          <w:color w:val="000000"/>
          <w:sz w:val="24"/>
          <w:szCs w:val="24"/>
        </w:rPr>
        <w:t>- and Medium-sized Enterprises (SMEs</w:t>
      </w:r>
      <w:proofErr w:type="gramStart"/>
      <w:r w:rsidRPr="005665FF">
        <w:rPr>
          <w:rFonts w:ascii="Arial" w:eastAsia="Times New Roman" w:hAnsi="Arial" w:cs="Arial"/>
          <w:color w:val="000000"/>
          <w:sz w:val="24"/>
          <w:szCs w:val="24"/>
        </w:rPr>
        <w:t>)(</w:t>
      </w:r>
      <w:proofErr w:type="gramEnd"/>
      <w:r w:rsidRPr="005665FF">
        <w:rPr>
          <w:rFonts w:ascii="Arial" w:eastAsia="Times New Roman" w:hAnsi="Arial" w:cs="Arial"/>
          <w:color w:val="000000"/>
          <w:sz w:val="24"/>
          <w:szCs w:val="24"/>
        </w:rPr>
        <w:t xml:space="preserve">small- and medium-scale enterprises) and examines determinants of </w:t>
      </w:r>
      <w:proofErr w:type="spellStart"/>
      <w:r w:rsidRPr="005665FF">
        <w:rPr>
          <w:rFonts w:ascii="Arial" w:eastAsia="Times New Roman" w:hAnsi="Arial" w:cs="Arial"/>
          <w:color w:val="000000"/>
          <w:sz w:val="24"/>
          <w:szCs w:val="24"/>
        </w:rPr>
        <w:t>organisational</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innovationOrganisational</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innovationand</w:t>
      </w:r>
      <w:proofErr w:type="spellEnd"/>
      <w:r w:rsidRPr="005665FF">
        <w:rPr>
          <w:rFonts w:ascii="Arial" w:eastAsia="Times New Roman" w:hAnsi="Arial" w:cs="Arial"/>
          <w:color w:val="000000"/>
          <w:sz w:val="24"/>
          <w:szCs w:val="24"/>
        </w:rPr>
        <w:t xml:space="preserve"> its effects on firm </w:t>
      </w:r>
      <w:proofErr w:type="spellStart"/>
      <w:r w:rsidRPr="005665FF">
        <w:rPr>
          <w:rFonts w:ascii="Arial" w:eastAsia="Times New Roman" w:hAnsi="Arial" w:cs="Arial"/>
          <w:color w:val="000000"/>
          <w:sz w:val="24"/>
          <w:szCs w:val="24"/>
        </w:rPr>
        <w:t>performanceFirm</w:t>
      </w:r>
      <w:proofErr w:type="spellEnd"/>
      <w:r w:rsidRPr="005665FF">
        <w:rPr>
          <w:rFonts w:ascii="Arial" w:eastAsia="Times New Roman" w:hAnsi="Arial" w:cs="Arial"/>
          <w:color w:val="000000"/>
          <w:sz w:val="24"/>
          <w:szCs w:val="24"/>
        </w:rPr>
        <w:t xml:space="preserve"> performance. We use the SME survey of 2015, which is also employed in the longitudinal data in Chap. 2. However, in this chapter, we introduce some new ideas. First, unlike in other chapters, we examine </w:t>
      </w:r>
      <w:proofErr w:type="spellStart"/>
      <w:r w:rsidRPr="005665FF">
        <w:rPr>
          <w:rFonts w:ascii="Arial" w:eastAsia="Times New Roman" w:hAnsi="Arial" w:cs="Arial"/>
          <w:color w:val="000000"/>
          <w:sz w:val="24"/>
          <w:szCs w:val="24"/>
        </w:rPr>
        <w:t>organisational</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innovationOrganisational</w:t>
      </w:r>
      <w:proofErr w:type="spellEnd"/>
      <w:r w:rsidRPr="005665FF">
        <w:rPr>
          <w:rFonts w:ascii="Arial" w:eastAsia="Times New Roman" w:hAnsi="Arial" w:cs="Arial"/>
          <w:color w:val="000000"/>
          <w:sz w:val="24"/>
          <w:szCs w:val="24"/>
        </w:rPr>
        <w:t xml:space="preserve"> innovation; second, we employ a different method (propensity score matching </w:t>
      </w:r>
      <w:proofErr w:type="spellStart"/>
      <w:r w:rsidRPr="005665FF">
        <w:rPr>
          <w:rFonts w:ascii="Arial" w:eastAsia="Times New Roman" w:hAnsi="Arial" w:cs="Arial"/>
          <w:color w:val="000000"/>
          <w:sz w:val="24"/>
          <w:szCs w:val="24"/>
        </w:rPr>
        <w:t>analysisPropensity</w:t>
      </w:r>
      <w:proofErr w:type="spellEnd"/>
      <w:r w:rsidRPr="005665FF">
        <w:rPr>
          <w:rFonts w:ascii="Arial" w:eastAsia="Times New Roman" w:hAnsi="Arial" w:cs="Arial"/>
          <w:color w:val="000000"/>
          <w:sz w:val="24"/>
          <w:szCs w:val="24"/>
        </w:rPr>
        <w:t xml:space="preserve"> score matching analysis) for empirical analysis; and, third, a combination of quantitative analysis and qualitative firm interview surveys gives the study a vivid image and enhance its significance. More specifically, ISO9001ISO9001certification is regarded as an </w:t>
      </w:r>
      <w:proofErr w:type="spellStart"/>
      <w:r w:rsidRPr="005665FF">
        <w:rPr>
          <w:rFonts w:ascii="Arial" w:eastAsia="Times New Roman" w:hAnsi="Arial" w:cs="Arial"/>
          <w:color w:val="000000"/>
          <w:sz w:val="24"/>
          <w:szCs w:val="24"/>
        </w:rPr>
        <w:t>organisational</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innovationInnovationand</w:t>
      </w:r>
      <w:proofErr w:type="spellEnd"/>
      <w:r w:rsidRPr="005665FF">
        <w:rPr>
          <w:rFonts w:ascii="Arial" w:eastAsia="Times New Roman" w:hAnsi="Arial" w:cs="Arial"/>
          <w:color w:val="000000"/>
          <w:sz w:val="24"/>
          <w:szCs w:val="24"/>
        </w:rPr>
        <w:t xml:space="preserve"> human </w:t>
      </w:r>
      <w:proofErr w:type="spellStart"/>
      <w:r w:rsidRPr="005665FF">
        <w:rPr>
          <w:rFonts w:ascii="Arial" w:eastAsia="Times New Roman" w:hAnsi="Arial" w:cs="Arial"/>
          <w:color w:val="000000"/>
          <w:sz w:val="24"/>
          <w:szCs w:val="24"/>
        </w:rPr>
        <w:t>capitalHuman</w:t>
      </w:r>
      <w:proofErr w:type="spellEnd"/>
      <w:r w:rsidRPr="005665FF">
        <w:rPr>
          <w:rFonts w:ascii="Arial" w:eastAsia="Times New Roman" w:hAnsi="Arial" w:cs="Arial"/>
          <w:color w:val="000000"/>
          <w:sz w:val="24"/>
          <w:szCs w:val="24"/>
        </w:rPr>
        <w:t xml:space="preserve"> </w:t>
      </w:r>
      <w:proofErr w:type="gramStart"/>
      <w:r w:rsidRPr="005665FF">
        <w:rPr>
          <w:rFonts w:ascii="Arial" w:eastAsia="Times New Roman" w:hAnsi="Arial" w:cs="Arial"/>
          <w:color w:val="000000"/>
          <w:sz w:val="24"/>
          <w:szCs w:val="24"/>
        </w:rPr>
        <w:t>capital(</w:t>
      </w:r>
      <w:proofErr w:type="gramEnd"/>
      <w:r w:rsidRPr="005665FF">
        <w:rPr>
          <w:rFonts w:ascii="Arial" w:eastAsia="Times New Roman" w:hAnsi="Arial" w:cs="Arial"/>
          <w:color w:val="000000"/>
          <w:sz w:val="24"/>
          <w:szCs w:val="24"/>
        </w:rPr>
        <w:t xml:space="preserve">higher education of entrepreneurs and workers), social capital (business </w:t>
      </w:r>
      <w:proofErr w:type="spellStart"/>
      <w:r w:rsidRPr="005665FF">
        <w:rPr>
          <w:rFonts w:ascii="Arial" w:eastAsia="Times New Roman" w:hAnsi="Arial" w:cs="Arial"/>
          <w:color w:val="000000"/>
          <w:sz w:val="24"/>
          <w:szCs w:val="24"/>
        </w:rPr>
        <w:t>associationBusiness</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associationmembership</w:t>
      </w:r>
      <w:proofErr w:type="spellEnd"/>
      <w:r w:rsidRPr="005665FF">
        <w:rPr>
          <w:rFonts w:ascii="Arial" w:eastAsia="Times New Roman" w:hAnsi="Arial" w:cs="Arial"/>
          <w:color w:val="000000"/>
          <w:sz w:val="24"/>
          <w:szCs w:val="24"/>
        </w:rPr>
        <w:t xml:space="preserve">) and other innovations (other certifications or investments in equipment/machinery) are found to be significant determinants. This type of </w:t>
      </w:r>
      <w:proofErr w:type="spellStart"/>
      <w:r w:rsidRPr="005665FF">
        <w:rPr>
          <w:rFonts w:ascii="Arial" w:eastAsia="Times New Roman" w:hAnsi="Arial" w:cs="Arial"/>
          <w:color w:val="000000"/>
          <w:sz w:val="24"/>
          <w:szCs w:val="24"/>
        </w:rPr>
        <w:t>innovationInnovationinfluences</w:t>
      </w:r>
      <w:proofErr w:type="spellEnd"/>
      <w:r w:rsidRPr="005665FF">
        <w:rPr>
          <w:rFonts w:ascii="Arial" w:eastAsia="Times New Roman" w:hAnsi="Arial" w:cs="Arial"/>
          <w:color w:val="000000"/>
          <w:sz w:val="24"/>
          <w:szCs w:val="24"/>
        </w:rPr>
        <w:t xml:space="preserve"> firm’s business scale in terms of profit, value added, </w:t>
      </w:r>
      <w:proofErr w:type="spellStart"/>
      <w:r w:rsidRPr="005665FF">
        <w:rPr>
          <w:rFonts w:ascii="Arial" w:eastAsia="Times New Roman" w:hAnsi="Arial" w:cs="Arial"/>
          <w:color w:val="000000"/>
          <w:sz w:val="24"/>
          <w:szCs w:val="24"/>
        </w:rPr>
        <w:t>labour</w:t>
      </w:r>
      <w:proofErr w:type="spellEnd"/>
      <w:r w:rsidRPr="005665FF">
        <w:rPr>
          <w:rFonts w:ascii="Arial" w:eastAsia="Times New Roman" w:hAnsi="Arial" w:cs="Arial"/>
          <w:color w:val="000000"/>
          <w:sz w:val="24"/>
          <w:szCs w:val="24"/>
        </w:rPr>
        <w:t xml:space="preserve"> as well as </w:t>
      </w:r>
      <w:proofErr w:type="spellStart"/>
      <w:r w:rsidRPr="005665FF">
        <w:rPr>
          <w:rFonts w:ascii="Arial" w:eastAsia="Times New Roman" w:hAnsi="Arial" w:cs="Arial"/>
          <w:color w:val="000000"/>
          <w:sz w:val="24"/>
          <w:szCs w:val="24"/>
        </w:rPr>
        <w:t>TFPTotal</w:t>
      </w:r>
      <w:proofErr w:type="spellEnd"/>
      <w:r w:rsidRPr="005665FF">
        <w:rPr>
          <w:rFonts w:ascii="Arial" w:eastAsia="Times New Roman" w:hAnsi="Arial" w:cs="Arial"/>
          <w:color w:val="000000"/>
          <w:sz w:val="24"/>
          <w:szCs w:val="24"/>
        </w:rPr>
        <w:t xml:space="preserve"> Factor Productivity (TFP). Yet, it has no effect on </w:t>
      </w:r>
      <w:proofErr w:type="spellStart"/>
      <w:r w:rsidRPr="005665FF">
        <w:rPr>
          <w:rFonts w:ascii="Arial" w:eastAsia="Times New Roman" w:hAnsi="Arial" w:cs="Arial"/>
          <w:color w:val="000000"/>
          <w:sz w:val="24"/>
          <w:szCs w:val="24"/>
        </w:rPr>
        <w:t>labour</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productivityProductivityand</w:t>
      </w:r>
      <w:proofErr w:type="spellEnd"/>
      <w:r w:rsidRPr="005665FF">
        <w:rPr>
          <w:rFonts w:ascii="Arial" w:eastAsia="Times New Roman" w:hAnsi="Arial" w:cs="Arial"/>
          <w:color w:val="000000"/>
          <w:sz w:val="24"/>
          <w:szCs w:val="24"/>
        </w:rPr>
        <w:t xml:space="preserve"> Return </w:t>
      </w:r>
      <w:proofErr w:type="gramStart"/>
      <w:r w:rsidRPr="005665FF">
        <w:rPr>
          <w:rFonts w:ascii="Arial" w:eastAsia="Times New Roman" w:hAnsi="Arial" w:cs="Arial"/>
          <w:color w:val="000000"/>
          <w:sz w:val="24"/>
          <w:szCs w:val="24"/>
        </w:rPr>
        <w:t>On</w:t>
      </w:r>
      <w:proofErr w:type="gramEnd"/>
      <w:r w:rsidRPr="005665FF">
        <w:rPr>
          <w:rFonts w:ascii="Arial" w:eastAsia="Times New Roman" w:hAnsi="Arial" w:cs="Arial"/>
          <w:color w:val="000000"/>
          <w:sz w:val="24"/>
          <w:szCs w:val="24"/>
        </w:rPr>
        <w:t xml:space="preserve"> Assets (ROA) Return On Assets (ROA). We also found that almost all ISO9001ISO9001certified firms introduced Kaizen/5S5S/Kaizen, a Japanese management system, which works well with the former to enhance the firms’ </w:t>
      </w:r>
      <w:proofErr w:type="spellStart"/>
      <w:r w:rsidRPr="005665FF">
        <w:rPr>
          <w:rFonts w:ascii="Arial" w:eastAsia="Times New Roman" w:hAnsi="Arial" w:cs="Arial"/>
          <w:color w:val="000000"/>
          <w:sz w:val="24"/>
          <w:szCs w:val="24"/>
        </w:rPr>
        <w:t>innovationInnovationsystem</w:t>
      </w:r>
      <w:proofErr w:type="spellEnd"/>
      <w:r w:rsidRPr="005665FF">
        <w:rPr>
          <w:rFonts w:ascii="Arial" w:eastAsia="Times New Roman" w:hAnsi="Arial" w:cs="Arial"/>
          <w:color w:val="000000"/>
          <w:sz w:val="24"/>
          <w:szCs w:val="24"/>
        </w:rPr>
        <w:t xml:space="preserve"> and gain new customers.</w:t>
      </w:r>
    </w:p>
    <w:p w14:paraId="15A5555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2C82A93"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43" w:name="m_8873885906141426999__Toc2349048"/>
      <w:r w:rsidRPr="005665FF">
        <w:rPr>
          <w:rFonts w:ascii="Calibri" w:eastAsia="Times New Roman" w:hAnsi="Calibri" w:cs="Calibri"/>
          <w:b/>
          <w:bCs/>
          <w:color w:val="800000"/>
        </w:rPr>
        <w:t>Product and Process Innovation of Micro, Small and Medium Manufacturing Enterprises in Vietnam.</w:t>
      </w:r>
      <w:bookmarkEnd w:id="43"/>
    </w:p>
    <w:p w14:paraId="54160AD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Trang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Thu Pham and Nobuaki Matsunaga. in: Innovation in Developing Countries: Lessons from Vietnam and Laos, Springer Singapore, Singapore, 2019, pp. 23-51.</w:t>
      </w:r>
    </w:p>
    <w:p w14:paraId="6CA9BD5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6D23D3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Innovation </w:t>
      </w:r>
      <w:proofErr w:type="spellStart"/>
      <w:r w:rsidRPr="005665FF">
        <w:rPr>
          <w:rFonts w:ascii="Arial" w:eastAsia="Times New Roman" w:hAnsi="Arial" w:cs="Arial"/>
          <w:color w:val="000000"/>
          <w:sz w:val="24"/>
          <w:szCs w:val="24"/>
        </w:rPr>
        <w:t>promotionInnovation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promotionis</w:t>
      </w:r>
      <w:proofErr w:type="spellEnd"/>
      <w:r w:rsidRPr="005665FF">
        <w:rPr>
          <w:rFonts w:ascii="Arial" w:eastAsia="Times New Roman" w:hAnsi="Arial" w:cs="Arial"/>
          <w:color w:val="000000"/>
          <w:sz w:val="24"/>
          <w:szCs w:val="24"/>
        </w:rPr>
        <w:t xml:space="preserve"> relatively new to the Vietnamese society. It took several decades to develop the science, technology and </w:t>
      </w:r>
      <w:proofErr w:type="spellStart"/>
      <w:r w:rsidRPr="005665FF">
        <w:rPr>
          <w:rFonts w:ascii="Arial" w:eastAsia="Times New Roman" w:hAnsi="Arial" w:cs="Arial"/>
          <w:color w:val="000000"/>
          <w:sz w:val="24"/>
          <w:szCs w:val="24"/>
        </w:rPr>
        <w:lastRenderedPageBreak/>
        <w:t>innovationInnovationsystem</w:t>
      </w:r>
      <w:proofErr w:type="spellEnd"/>
      <w:r w:rsidRPr="005665FF">
        <w:rPr>
          <w:rFonts w:ascii="Arial" w:eastAsia="Times New Roman" w:hAnsi="Arial" w:cs="Arial"/>
          <w:color w:val="000000"/>
          <w:sz w:val="24"/>
          <w:szCs w:val="24"/>
        </w:rPr>
        <w:t xml:space="preserve"> and to gradually shift the science and technology strategy towards </w:t>
      </w:r>
      <w:proofErr w:type="spellStart"/>
      <w:r w:rsidRPr="005665FF">
        <w:rPr>
          <w:rFonts w:ascii="Arial" w:eastAsia="Times New Roman" w:hAnsi="Arial" w:cs="Arial"/>
          <w:color w:val="000000"/>
          <w:sz w:val="24"/>
          <w:szCs w:val="24"/>
        </w:rPr>
        <w:t>innovationInnovation</w:t>
      </w:r>
      <w:proofErr w:type="spellEnd"/>
      <w:r w:rsidRPr="005665FF">
        <w:rPr>
          <w:rFonts w:ascii="Arial" w:eastAsia="Times New Roman" w:hAnsi="Arial" w:cs="Arial"/>
          <w:color w:val="000000"/>
          <w:sz w:val="24"/>
          <w:szCs w:val="24"/>
        </w:rPr>
        <w:t xml:space="preserve">. This chapter examines the factors driving product and process </w:t>
      </w:r>
      <w:proofErr w:type="spellStart"/>
      <w:r w:rsidRPr="005665FF">
        <w:rPr>
          <w:rFonts w:ascii="Arial" w:eastAsia="Times New Roman" w:hAnsi="Arial" w:cs="Arial"/>
          <w:color w:val="000000"/>
          <w:sz w:val="24"/>
          <w:szCs w:val="24"/>
        </w:rPr>
        <w:t>innovationProcess</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innovationof</w:t>
      </w:r>
      <w:proofErr w:type="spellEnd"/>
      <w:r w:rsidRPr="005665FF">
        <w:rPr>
          <w:rFonts w:ascii="Arial" w:eastAsia="Times New Roman" w:hAnsi="Arial" w:cs="Arial"/>
          <w:color w:val="000000"/>
          <w:sz w:val="24"/>
          <w:szCs w:val="24"/>
        </w:rPr>
        <w:t xml:space="preserve"> manufacturing micro, small and medium enterprises (MSMEs)Micro, Small and Medium Enterprises (MSMEs). We employ the SME surveys from 2005 to 2015—conducted every 2 years in ten cities and provinces—to create unbalanced panel </w:t>
      </w:r>
      <w:proofErr w:type="spellStart"/>
      <w:r w:rsidRPr="005665FF">
        <w:rPr>
          <w:rFonts w:ascii="Arial" w:eastAsia="Times New Roman" w:hAnsi="Arial" w:cs="Arial"/>
          <w:color w:val="000000"/>
          <w:sz w:val="24"/>
          <w:szCs w:val="24"/>
        </w:rPr>
        <w:t>dataPanel</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datawith</w:t>
      </w:r>
      <w:proofErr w:type="spellEnd"/>
      <w:r w:rsidRPr="005665FF">
        <w:rPr>
          <w:rFonts w:ascii="Arial" w:eastAsia="Times New Roman" w:hAnsi="Arial" w:cs="Arial"/>
          <w:color w:val="000000"/>
          <w:sz w:val="24"/>
          <w:szCs w:val="24"/>
        </w:rPr>
        <w:t xml:space="preserve"> 7399 observations and apply the </w:t>
      </w:r>
      <w:proofErr w:type="spellStart"/>
      <w:r w:rsidRPr="005665FF">
        <w:rPr>
          <w:rFonts w:ascii="Arial" w:eastAsia="Times New Roman" w:hAnsi="Arial" w:cs="Arial"/>
          <w:color w:val="000000"/>
          <w:sz w:val="24"/>
          <w:szCs w:val="24"/>
        </w:rPr>
        <w:t>probit</w:t>
      </w:r>
      <w:proofErr w:type="spellEnd"/>
      <w:r w:rsidRPr="005665FF">
        <w:rPr>
          <w:rFonts w:ascii="Arial" w:eastAsia="Times New Roman" w:hAnsi="Arial" w:cs="Arial"/>
          <w:color w:val="000000"/>
          <w:sz w:val="24"/>
          <w:szCs w:val="24"/>
        </w:rPr>
        <w:t xml:space="preserve"> model for the study. The findings suggest that firm experience in </w:t>
      </w:r>
      <w:proofErr w:type="spellStart"/>
      <w:r w:rsidRPr="005665FF">
        <w:rPr>
          <w:rFonts w:ascii="Arial" w:eastAsia="Times New Roman" w:hAnsi="Arial" w:cs="Arial"/>
          <w:color w:val="000000"/>
          <w:sz w:val="24"/>
          <w:szCs w:val="24"/>
        </w:rPr>
        <w:t>innovationInnovationand</w:t>
      </w:r>
      <w:proofErr w:type="spellEnd"/>
      <w:r w:rsidRPr="005665FF">
        <w:rPr>
          <w:rFonts w:ascii="Arial" w:eastAsia="Times New Roman" w:hAnsi="Arial" w:cs="Arial"/>
          <w:color w:val="000000"/>
          <w:sz w:val="24"/>
          <w:szCs w:val="24"/>
        </w:rPr>
        <w:t xml:space="preserve"> accumulated knowledge are crucial for future </w:t>
      </w:r>
      <w:proofErr w:type="spellStart"/>
      <w:r w:rsidRPr="005665FF">
        <w:rPr>
          <w:rFonts w:ascii="Arial" w:eastAsia="Times New Roman" w:hAnsi="Arial" w:cs="Arial"/>
          <w:color w:val="000000"/>
          <w:sz w:val="24"/>
          <w:szCs w:val="24"/>
        </w:rPr>
        <w:t>innovationInnovation</w:t>
      </w:r>
      <w:proofErr w:type="spellEnd"/>
      <w:r w:rsidRPr="005665FF">
        <w:rPr>
          <w:rFonts w:ascii="Arial" w:eastAsia="Times New Roman" w:hAnsi="Arial" w:cs="Arial"/>
          <w:color w:val="000000"/>
          <w:sz w:val="24"/>
          <w:szCs w:val="24"/>
        </w:rPr>
        <w:t xml:space="preserve">; human </w:t>
      </w:r>
      <w:proofErr w:type="spellStart"/>
      <w:r w:rsidRPr="005665FF">
        <w:rPr>
          <w:rFonts w:ascii="Arial" w:eastAsia="Times New Roman" w:hAnsi="Arial" w:cs="Arial"/>
          <w:color w:val="000000"/>
          <w:sz w:val="24"/>
          <w:szCs w:val="24"/>
        </w:rPr>
        <w:t>capitalHuman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capitalof</w:t>
      </w:r>
      <w:proofErr w:type="spellEnd"/>
      <w:r w:rsidRPr="005665FF">
        <w:rPr>
          <w:rFonts w:ascii="Arial" w:eastAsia="Times New Roman" w:hAnsi="Arial" w:cs="Arial"/>
          <w:color w:val="000000"/>
          <w:sz w:val="24"/>
          <w:szCs w:val="24"/>
        </w:rPr>
        <w:t xml:space="preserve"> both entrepreneurs and employees (upper secondary and higher level education) and social capital are important for </w:t>
      </w:r>
      <w:proofErr w:type="spellStart"/>
      <w:r w:rsidRPr="005665FF">
        <w:rPr>
          <w:rFonts w:ascii="Arial" w:eastAsia="Times New Roman" w:hAnsi="Arial" w:cs="Arial"/>
          <w:color w:val="000000"/>
          <w:sz w:val="24"/>
          <w:szCs w:val="24"/>
        </w:rPr>
        <w:t>innovationInnovation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SMEsSmall</w:t>
      </w:r>
      <w:proofErr w:type="spellEnd"/>
      <w:r w:rsidRPr="005665FF">
        <w:rPr>
          <w:rFonts w:ascii="Arial" w:eastAsia="Times New Roman" w:hAnsi="Arial" w:cs="Arial"/>
          <w:color w:val="000000"/>
          <w:sz w:val="24"/>
          <w:szCs w:val="24"/>
        </w:rPr>
        <w:t xml:space="preserve">- and Medium-sized Enterprises (SMEs)are apt to be more innovative given that they have higher capital intensity (production </w:t>
      </w:r>
      <w:proofErr w:type="spellStart"/>
      <w:r w:rsidRPr="005665FF">
        <w:rPr>
          <w:rFonts w:ascii="Arial" w:eastAsia="Times New Roman" w:hAnsi="Arial" w:cs="Arial"/>
          <w:color w:val="000000"/>
          <w:sz w:val="24"/>
          <w:szCs w:val="24"/>
        </w:rPr>
        <w:t>technologyProduction</w:t>
      </w:r>
      <w:proofErr w:type="spellEnd"/>
      <w:r w:rsidRPr="005665FF">
        <w:rPr>
          <w:rFonts w:ascii="Arial" w:eastAsia="Times New Roman" w:hAnsi="Arial" w:cs="Arial"/>
          <w:color w:val="000000"/>
          <w:sz w:val="24"/>
          <w:szCs w:val="24"/>
        </w:rPr>
        <w:t xml:space="preserve"> technology) or face intense competition; uncertainty of public policies and insufficient policy implementation are hindrance to </w:t>
      </w:r>
      <w:proofErr w:type="spellStart"/>
      <w:r w:rsidRPr="005665FF">
        <w:rPr>
          <w:rFonts w:ascii="Arial" w:eastAsia="Times New Roman" w:hAnsi="Arial" w:cs="Arial"/>
          <w:color w:val="000000"/>
          <w:sz w:val="24"/>
          <w:szCs w:val="24"/>
        </w:rPr>
        <w:t>innovationInnovation</w:t>
      </w:r>
      <w:proofErr w:type="spellEnd"/>
      <w:r w:rsidRPr="005665FF">
        <w:rPr>
          <w:rFonts w:ascii="Arial" w:eastAsia="Times New Roman" w:hAnsi="Arial" w:cs="Arial"/>
          <w:color w:val="000000"/>
          <w:sz w:val="24"/>
          <w:szCs w:val="24"/>
        </w:rPr>
        <w:t xml:space="preserve">. Consequently, there is a need for improving the education and training system, including reinforcement of higher education, enhancing the inter-firm linkages and firm-research institute-university cooperation, and providing effective </w:t>
      </w:r>
      <w:proofErr w:type="spellStart"/>
      <w:r w:rsidRPr="005665FF">
        <w:rPr>
          <w:rFonts w:ascii="Arial" w:eastAsia="Times New Roman" w:hAnsi="Arial" w:cs="Arial"/>
          <w:color w:val="000000"/>
          <w:sz w:val="24"/>
          <w:szCs w:val="24"/>
        </w:rPr>
        <w:t>innovationInnovationincentives</w:t>
      </w:r>
      <w:proofErr w:type="spellEnd"/>
      <w:r w:rsidRPr="005665FF">
        <w:rPr>
          <w:rFonts w:ascii="Arial" w:eastAsia="Times New Roman" w:hAnsi="Arial" w:cs="Arial"/>
          <w:color w:val="000000"/>
          <w:sz w:val="24"/>
          <w:szCs w:val="24"/>
        </w:rPr>
        <w:t xml:space="preserve"> and support for enterprises.</w:t>
      </w:r>
    </w:p>
    <w:p w14:paraId="0A82B22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863EEFE"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52F98032" w14:textId="2CD49025"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48B7EBE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2E30DA2"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44" w:name="m_8873885906141426999__Toc2349049"/>
      <w:r w:rsidRPr="005665FF">
        <w:rPr>
          <w:rFonts w:ascii="Calibri" w:eastAsia="Times New Roman" w:hAnsi="Calibri" w:cs="Calibri"/>
          <w:b/>
          <w:bCs/>
          <w:color w:val="800000"/>
        </w:rPr>
        <w:t>Productivity Spillover from FDI to Domestic Firms across Six Regions in Vietnam.</w:t>
      </w:r>
      <w:bookmarkEnd w:id="44"/>
    </w:p>
    <w:p w14:paraId="6B8EE99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Hien T. N Huynh, Phuong V. Nguyen,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D. X. Trieu and Khoa T. Tran. Emerging Markets Finance and Trade, 2019, pp. 1-17.</w:t>
      </w:r>
    </w:p>
    <w:p w14:paraId="64A3918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213D6D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The article uses the latest firm-level data in Vietnam, from 2011 to 2015, to find fresh evidence on productivity spillovers from foreign direct investment across six regions in Vietnam. The finding indicates negative horizontal spillover as the most dominant channel in all regions. The positive backward spillover is compensated for by the large magnitude of negative horizontal and forward spillovers. Besides, absorptive capability really matters in productivity spillovers. Furthermore, total factor productivity growth at domestic firms within 100 sq. km. of foreign </w:t>
      </w:r>
      <w:proofErr w:type="spellStart"/>
      <w:proofErr w:type="gramStart"/>
      <w:r w:rsidRPr="005665FF">
        <w:rPr>
          <w:rFonts w:ascii="Arial" w:eastAsia="Times New Roman" w:hAnsi="Arial" w:cs="Arial"/>
          <w:color w:val="000000"/>
          <w:sz w:val="24"/>
          <w:szCs w:val="24"/>
        </w:rPr>
        <w:t>capital?intensive</w:t>
      </w:r>
      <w:proofErr w:type="spellEnd"/>
      <w:proofErr w:type="gramEnd"/>
      <w:r w:rsidRPr="005665FF">
        <w:rPr>
          <w:rFonts w:ascii="Arial" w:eastAsia="Times New Roman" w:hAnsi="Arial" w:cs="Arial"/>
          <w:color w:val="000000"/>
          <w:sz w:val="24"/>
          <w:szCs w:val="24"/>
        </w:rPr>
        <w:t xml:space="preserve"> and administrative centers is similar to that of external firms under the effects of productivity spillover.</w:t>
      </w:r>
    </w:p>
    <w:p w14:paraId="7E24EEC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9E96D5C"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45" w:name="m_8873885906141426999__Toc2349050"/>
      <w:r w:rsidRPr="005665FF">
        <w:rPr>
          <w:rFonts w:ascii="Calibri" w:eastAsia="Times New Roman" w:hAnsi="Calibri" w:cs="Calibri"/>
          <w:b/>
          <w:bCs/>
          <w:color w:val="800000"/>
        </w:rPr>
        <w:t>SME credit constraints in Asia’s rising economic star: fresh empirical evidence from Vietnam.</w:t>
      </w:r>
      <w:bookmarkEnd w:id="45"/>
    </w:p>
    <w:p w14:paraId="3B15424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lang w:val="fr-FR"/>
        </w:rPr>
        <w:lastRenderedPageBreak/>
        <w:t xml:space="preserve">Lan Thanh Nguyen, Jen-Je Su and </w:t>
      </w:r>
      <w:proofErr w:type="spellStart"/>
      <w:r w:rsidRPr="005665FF">
        <w:rPr>
          <w:rFonts w:ascii="Arial" w:eastAsia="Times New Roman" w:hAnsi="Arial" w:cs="Arial"/>
          <w:color w:val="000000"/>
          <w:sz w:val="24"/>
          <w:szCs w:val="24"/>
          <w:lang w:val="fr-FR"/>
        </w:rPr>
        <w:t>Parmendra</w:t>
      </w:r>
      <w:proofErr w:type="spellEnd"/>
      <w:r w:rsidRPr="005665FF">
        <w:rPr>
          <w:rFonts w:ascii="Arial" w:eastAsia="Times New Roman" w:hAnsi="Arial" w:cs="Arial"/>
          <w:color w:val="000000"/>
          <w:sz w:val="24"/>
          <w:szCs w:val="24"/>
          <w:lang w:val="fr-FR"/>
        </w:rPr>
        <w:t xml:space="preserve"> Sharma. </w:t>
      </w:r>
      <w:r w:rsidRPr="005665FF">
        <w:rPr>
          <w:rFonts w:ascii="Arial" w:eastAsia="Times New Roman" w:hAnsi="Arial" w:cs="Arial"/>
          <w:color w:val="000000"/>
          <w:sz w:val="24"/>
          <w:szCs w:val="24"/>
        </w:rPr>
        <w:t>Applied Economics, 2019, pp. 1-14.</w:t>
      </w:r>
    </w:p>
    <w:p w14:paraId="399B9DA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1FC6BB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study provides a fresh look at the SME </w:t>
      </w:r>
      <w:proofErr w:type="spellStart"/>
      <w:proofErr w:type="gramStart"/>
      <w:r w:rsidRPr="005665FF">
        <w:rPr>
          <w:rFonts w:ascii="Arial" w:eastAsia="Times New Roman" w:hAnsi="Arial" w:cs="Arial"/>
          <w:color w:val="000000"/>
          <w:sz w:val="24"/>
          <w:szCs w:val="24"/>
        </w:rPr>
        <w:t>sector?s</w:t>
      </w:r>
      <w:proofErr w:type="spellEnd"/>
      <w:proofErr w:type="gramEnd"/>
      <w:r w:rsidRPr="005665FF">
        <w:rPr>
          <w:rFonts w:ascii="Arial" w:eastAsia="Times New Roman" w:hAnsi="Arial" w:cs="Arial"/>
          <w:color w:val="000000"/>
          <w:sz w:val="24"/>
          <w:szCs w:val="24"/>
        </w:rPr>
        <w:t xml:space="preserve"> economic backbone vis-à-vis credit constraint dichotomy in </w:t>
      </w:r>
      <w:proofErr w:type="spellStart"/>
      <w:r w:rsidRPr="005665FF">
        <w:rPr>
          <w:rFonts w:ascii="Arial" w:eastAsia="Times New Roman" w:hAnsi="Arial" w:cs="Arial"/>
          <w:color w:val="000000"/>
          <w:sz w:val="24"/>
          <w:szCs w:val="24"/>
        </w:rPr>
        <w:t>Vietnam?Asia?s</w:t>
      </w:r>
      <w:proofErr w:type="spellEnd"/>
      <w:r w:rsidRPr="005665FF">
        <w:rPr>
          <w:rFonts w:ascii="Arial" w:eastAsia="Times New Roman" w:hAnsi="Arial" w:cs="Arial"/>
          <w:color w:val="000000"/>
          <w:sz w:val="24"/>
          <w:szCs w:val="24"/>
        </w:rPr>
        <w:t xml:space="preserve"> rising economic star. The study uses data from the Survey of Manufacturing SMEs in Vietnam from 2005 to 2013 and adopts a two-step Heckman modelling strategy to single out firms with formal financing needs that are credit constrained. Results show that several </w:t>
      </w:r>
      <w:proofErr w:type="spellStart"/>
      <w:proofErr w:type="gramStart"/>
      <w:r w:rsidRPr="005665FF">
        <w:rPr>
          <w:rFonts w:ascii="Arial" w:eastAsia="Times New Roman" w:hAnsi="Arial" w:cs="Arial"/>
          <w:color w:val="000000"/>
          <w:sz w:val="24"/>
          <w:szCs w:val="24"/>
        </w:rPr>
        <w:t>characteristics?including</w:t>
      </w:r>
      <w:proofErr w:type="spellEnd"/>
      <w:proofErr w:type="gramEnd"/>
      <w:r w:rsidRPr="005665FF">
        <w:rPr>
          <w:rFonts w:ascii="Arial" w:eastAsia="Times New Roman" w:hAnsi="Arial" w:cs="Arial"/>
          <w:color w:val="000000"/>
          <w:sz w:val="24"/>
          <w:szCs w:val="24"/>
        </w:rPr>
        <w:t xml:space="preserve"> firm size, investment, financial assets, leverage, equity, registration, gender of owner, age, and </w:t>
      </w:r>
      <w:proofErr w:type="spellStart"/>
      <w:r w:rsidRPr="005665FF">
        <w:rPr>
          <w:rFonts w:ascii="Arial" w:eastAsia="Times New Roman" w:hAnsi="Arial" w:cs="Arial"/>
          <w:color w:val="000000"/>
          <w:sz w:val="24"/>
          <w:szCs w:val="24"/>
        </w:rPr>
        <w:t>education?significantly</w:t>
      </w:r>
      <w:proofErr w:type="spellEnd"/>
      <w:r w:rsidRPr="005665FF">
        <w:rPr>
          <w:rFonts w:ascii="Arial" w:eastAsia="Times New Roman" w:hAnsi="Arial" w:cs="Arial"/>
          <w:color w:val="000000"/>
          <w:sz w:val="24"/>
          <w:szCs w:val="24"/>
        </w:rPr>
        <w:t xml:space="preserve"> affect the likelihood of either credit constraints or demand. The main results do not change even when the issue of endogeneity is dealt with. Particularly, we provide evidence that unobserved factors that increase the probability of debt demand also increase the probability of being constrained. Policy implications are discussed.</w:t>
      </w:r>
    </w:p>
    <w:p w14:paraId="6BBDD12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C0CC3EA"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46" w:name="m_8873885906141426999__Toc2349051"/>
      <w:r w:rsidRPr="005665FF">
        <w:rPr>
          <w:rFonts w:ascii="Calibri" w:eastAsia="Times New Roman" w:hAnsi="Calibri" w:cs="Calibri"/>
          <w:b/>
          <w:bCs/>
          <w:color w:val="800000"/>
        </w:rPr>
        <w:t>STEAM-ME: A Novel Model for Successful Kaizen Implementation and Sustainable Performance of SMEs in Vietnam.</w:t>
      </w:r>
      <w:bookmarkEnd w:id="46"/>
    </w:p>
    <w:p w14:paraId="40C4DB9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Thanh-Lam Nguyen. Complexity, 2019.</w:t>
      </w:r>
    </w:p>
    <w:p w14:paraId="5B2A471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27" w:tgtFrame="_blank" w:history="1">
        <w:r w:rsidRPr="005665FF">
          <w:rPr>
            <w:rFonts w:ascii="Arial" w:eastAsia="Times New Roman" w:hAnsi="Arial" w:cs="Arial"/>
            <w:color w:val="1155CC"/>
            <w:sz w:val="24"/>
            <w:szCs w:val="24"/>
            <w:u w:val="single"/>
          </w:rPr>
          <w:t>http://downloads.hindawi.com/journals/complexity/2019/6048195.pdf</w:t>
        </w:r>
      </w:hyperlink>
      <w:r w:rsidRPr="005665FF">
        <w:rPr>
          <w:rFonts w:ascii="Arial" w:eastAsia="Times New Roman" w:hAnsi="Arial" w:cs="Arial"/>
          <w:color w:val="000000"/>
          <w:sz w:val="24"/>
          <w:szCs w:val="24"/>
        </w:rPr>
        <w:t>.</w:t>
      </w:r>
    </w:p>
    <w:p w14:paraId="7FF61F8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023BC7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w:t>
      </w:r>
      <w:proofErr w:type="spellStart"/>
      <w:r w:rsidRPr="005665FF">
        <w:rPr>
          <w:rFonts w:ascii="Arial" w:eastAsia="Times New Roman" w:hAnsi="Arial" w:cs="Arial"/>
          <w:color w:val="000000"/>
          <w:sz w:val="24"/>
          <w:szCs w:val="24"/>
        </w:rPr>
        <w:t>Te</w:t>
      </w:r>
      <w:proofErr w:type="spellEnd"/>
      <w:r w:rsidRPr="005665FF">
        <w:rPr>
          <w:rFonts w:ascii="Arial" w:eastAsia="Times New Roman" w:hAnsi="Arial" w:cs="Arial"/>
          <w:color w:val="000000"/>
          <w:sz w:val="24"/>
          <w:szCs w:val="24"/>
        </w:rPr>
        <w:t xml:space="preserve"> current trend of international integration urges every business organizations to continuously improve their competitive advantage for their survival and sustainable growth. And Kaizen has been a preferable approach in practice. Due to the special role of SMEs in the Vietnam economy, improving their competitiveness is critical. Tus, this study is aimed at identifying determinants of the successful Kaizen implementation and sustainable performance so that SMEs can have proper actions and prioritize their operations within their available </w:t>
      </w:r>
      <w:proofErr w:type="spellStart"/>
      <w:r w:rsidRPr="005665FF">
        <w:rPr>
          <w:rFonts w:ascii="Arial" w:eastAsia="Times New Roman" w:hAnsi="Arial" w:cs="Arial"/>
          <w:color w:val="000000"/>
          <w:sz w:val="24"/>
          <w:szCs w:val="24"/>
        </w:rPr>
        <w:t>resources.Trough</w:t>
      </w:r>
      <w:proofErr w:type="spellEnd"/>
      <w:r w:rsidRPr="005665FF">
        <w:rPr>
          <w:rFonts w:ascii="Arial" w:eastAsia="Times New Roman" w:hAnsi="Arial" w:cs="Arial"/>
          <w:color w:val="000000"/>
          <w:sz w:val="24"/>
          <w:szCs w:val="24"/>
        </w:rPr>
        <w:t xml:space="preserve"> a formal survey of 213 participants from 62 SMEs which have been successful in implementing Kaizen and appropriate statistical analyses, seven important determinants have been </w:t>
      </w:r>
      <w:proofErr w:type="spellStart"/>
      <w:r w:rsidRPr="005665FF">
        <w:rPr>
          <w:rFonts w:ascii="Arial" w:eastAsia="Times New Roman" w:hAnsi="Arial" w:cs="Arial"/>
          <w:color w:val="000000"/>
          <w:sz w:val="24"/>
          <w:szCs w:val="24"/>
        </w:rPr>
        <w:t>identifed</w:t>
      </w:r>
      <w:proofErr w:type="spellEnd"/>
      <w:r w:rsidRPr="005665FF">
        <w:rPr>
          <w:rFonts w:ascii="Arial" w:eastAsia="Times New Roman" w:hAnsi="Arial" w:cs="Arial"/>
          <w:color w:val="000000"/>
          <w:sz w:val="24"/>
          <w:szCs w:val="24"/>
        </w:rPr>
        <w:t xml:space="preserve">, namely, (1) supports from senior management; (2) training; (3) environment; (4) assessment; (5) motivation; (6) mindset; and (7) engagement of all members in the organization. Among them, “mindset” is newly proposed in this study through a qualitative research and found as crucial component in the model. </w:t>
      </w:r>
      <w:proofErr w:type="spellStart"/>
      <w:r w:rsidRPr="005665FF">
        <w:rPr>
          <w:rFonts w:ascii="Arial" w:eastAsia="Times New Roman" w:hAnsi="Arial" w:cs="Arial"/>
          <w:color w:val="000000"/>
          <w:sz w:val="24"/>
          <w:szCs w:val="24"/>
        </w:rPr>
        <w:t>Te</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fnding</w:t>
      </w:r>
      <w:proofErr w:type="spellEnd"/>
      <w:r w:rsidRPr="005665FF">
        <w:rPr>
          <w:rFonts w:ascii="Arial" w:eastAsia="Times New Roman" w:hAnsi="Arial" w:cs="Arial"/>
          <w:color w:val="000000"/>
          <w:sz w:val="24"/>
          <w:szCs w:val="24"/>
        </w:rPr>
        <w:t xml:space="preserve"> obviously </w:t>
      </w:r>
      <w:proofErr w:type="spellStart"/>
      <w:r w:rsidRPr="005665FF">
        <w:rPr>
          <w:rFonts w:ascii="Arial" w:eastAsia="Times New Roman" w:hAnsi="Arial" w:cs="Arial"/>
          <w:color w:val="000000"/>
          <w:sz w:val="24"/>
          <w:szCs w:val="24"/>
        </w:rPr>
        <w:t>fulflls</w:t>
      </w:r>
      <w:proofErr w:type="spellEnd"/>
      <w:r w:rsidRPr="005665FF">
        <w:rPr>
          <w:rFonts w:ascii="Arial" w:eastAsia="Times New Roman" w:hAnsi="Arial" w:cs="Arial"/>
          <w:color w:val="000000"/>
          <w:sz w:val="24"/>
          <w:szCs w:val="24"/>
        </w:rPr>
        <w:t xml:space="preserve"> the existing literature. Moreover, the </w:t>
      </w:r>
      <w:proofErr w:type="spellStart"/>
      <w:r w:rsidRPr="005665FF">
        <w:rPr>
          <w:rFonts w:ascii="Arial" w:eastAsia="Times New Roman" w:hAnsi="Arial" w:cs="Arial"/>
          <w:color w:val="000000"/>
          <w:sz w:val="24"/>
          <w:szCs w:val="24"/>
        </w:rPr>
        <w:t>frst</w:t>
      </w:r>
      <w:proofErr w:type="spellEnd"/>
      <w:r w:rsidRPr="005665FF">
        <w:rPr>
          <w:rFonts w:ascii="Arial" w:eastAsia="Times New Roman" w:hAnsi="Arial" w:cs="Arial"/>
          <w:color w:val="000000"/>
          <w:sz w:val="24"/>
          <w:szCs w:val="24"/>
        </w:rPr>
        <w:t xml:space="preserve"> letters of the </w:t>
      </w:r>
      <w:proofErr w:type="spellStart"/>
      <w:r w:rsidRPr="005665FF">
        <w:rPr>
          <w:rFonts w:ascii="Arial" w:eastAsia="Times New Roman" w:hAnsi="Arial" w:cs="Arial"/>
          <w:color w:val="000000"/>
          <w:sz w:val="24"/>
          <w:szCs w:val="24"/>
        </w:rPr>
        <w:t>identifed</w:t>
      </w:r>
      <w:proofErr w:type="spellEnd"/>
      <w:r w:rsidRPr="005665FF">
        <w:rPr>
          <w:rFonts w:ascii="Arial" w:eastAsia="Times New Roman" w:hAnsi="Arial" w:cs="Arial"/>
          <w:color w:val="000000"/>
          <w:sz w:val="24"/>
          <w:szCs w:val="24"/>
        </w:rPr>
        <w:t xml:space="preserve"> factors are orderly congregated as “STEAM-ME” which is a novel model for the successful Kaizen implementation and the sustainable performance of SMEs in Vietnam. “STEAM-ME” implies that organizations need to have a new </w:t>
      </w:r>
      <w:proofErr w:type="spellStart"/>
      <w:r w:rsidRPr="005665FF">
        <w:rPr>
          <w:rFonts w:ascii="Arial" w:eastAsia="Times New Roman" w:hAnsi="Arial" w:cs="Arial"/>
          <w:color w:val="000000"/>
          <w:sz w:val="24"/>
          <w:szCs w:val="24"/>
        </w:rPr>
        <w:t>airfow</w:t>
      </w:r>
      <w:proofErr w:type="spellEnd"/>
      <w:r w:rsidRPr="005665FF">
        <w:rPr>
          <w:rFonts w:ascii="Arial" w:eastAsia="Times New Roman" w:hAnsi="Arial" w:cs="Arial"/>
          <w:color w:val="000000"/>
          <w:sz w:val="24"/>
          <w:szCs w:val="24"/>
        </w:rPr>
        <w:t xml:space="preserve"> as “steam” to make all of its members refreshed and brimful of energy to gain </w:t>
      </w:r>
      <w:proofErr w:type="spellStart"/>
      <w:r w:rsidRPr="005665FF">
        <w:rPr>
          <w:rFonts w:ascii="Arial" w:eastAsia="Times New Roman" w:hAnsi="Arial" w:cs="Arial"/>
          <w:color w:val="000000"/>
          <w:sz w:val="24"/>
          <w:szCs w:val="24"/>
        </w:rPr>
        <w:t>signifcant</w:t>
      </w:r>
      <w:proofErr w:type="spellEnd"/>
      <w:r w:rsidRPr="005665FF">
        <w:rPr>
          <w:rFonts w:ascii="Arial" w:eastAsia="Times New Roman" w:hAnsi="Arial" w:cs="Arial"/>
          <w:color w:val="000000"/>
          <w:sz w:val="24"/>
          <w:szCs w:val="24"/>
        </w:rPr>
        <w:t xml:space="preserve"> success in implementing Kaizen, and improve their business performance as well as competitive advantage for </w:t>
      </w:r>
      <w:r w:rsidRPr="005665FF">
        <w:rPr>
          <w:rFonts w:ascii="Arial" w:eastAsia="Times New Roman" w:hAnsi="Arial" w:cs="Arial"/>
          <w:color w:val="000000"/>
          <w:sz w:val="24"/>
          <w:szCs w:val="24"/>
        </w:rPr>
        <w:lastRenderedPageBreak/>
        <w:t xml:space="preserve">their sustainable development. Notably, the novel model can </w:t>
      </w:r>
      <w:proofErr w:type="spellStart"/>
      <w:r w:rsidRPr="005665FF">
        <w:rPr>
          <w:rFonts w:ascii="Arial" w:eastAsia="Times New Roman" w:hAnsi="Arial" w:cs="Arial"/>
          <w:color w:val="000000"/>
          <w:sz w:val="24"/>
          <w:szCs w:val="24"/>
        </w:rPr>
        <w:t>efciently</w:t>
      </w:r>
      <w:proofErr w:type="spellEnd"/>
      <w:r w:rsidRPr="005665FF">
        <w:rPr>
          <w:rFonts w:ascii="Arial" w:eastAsia="Times New Roman" w:hAnsi="Arial" w:cs="Arial"/>
          <w:color w:val="000000"/>
          <w:sz w:val="24"/>
          <w:szCs w:val="24"/>
        </w:rPr>
        <w:t xml:space="preserve"> demonstrate organic relationships among its components which all have positive and </w:t>
      </w:r>
      <w:proofErr w:type="spellStart"/>
      <w:r w:rsidRPr="005665FF">
        <w:rPr>
          <w:rFonts w:ascii="Arial" w:eastAsia="Times New Roman" w:hAnsi="Arial" w:cs="Arial"/>
          <w:color w:val="000000"/>
          <w:sz w:val="24"/>
          <w:szCs w:val="24"/>
        </w:rPr>
        <w:t>signifcant</w:t>
      </w:r>
      <w:proofErr w:type="spellEnd"/>
      <w:r w:rsidRPr="005665FF">
        <w:rPr>
          <w:rFonts w:ascii="Arial" w:eastAsia="Times New Roman" w:hAnsi="Arial" w:cs="Arial"/>
          <w:color w:val="000000"/>
          <w:sz w:val="24"/>
          <w:szCs w:val="24"/>
        </w:rPr>
        <w:t xml:space="preserve"> impacts on the successful Kaizen implementation and sustainable performance of SMEs in Vietnam.</w:t>
      </w:r>
    </w:p>
    <w:p w14:paraId="1602971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F4374A5"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7C6A65F3" w14:textId="29DE96D0"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18D6285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AD7792F"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47" w:name="m_8873885906141426999__Toc2349052"/>
      <w:r w:rsidRPr="005665FF">
        <w:rPr>
          <w:rFonts w:ascii="Calibri" w:eastAsia="Times New Roman" w:hAnsi="Calibri" w:cs="Calibri"/>
          <w:b/>
          <w:bCs/>
          <w:color w:val="800000"/>
        </w:rPr>
        <w:t>Trade-related R&amp;D Spillovers in Vietnamese Manufacturing.</w:t>
      </w:r>
      <w:bookmarkEnd w:id="47"/>
    </w:p>
    <w:p w14:paraId="6750F48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Thang Ngoc Bach. International Economic Journal, 2018, volume 32, number 3.</w:t>
      </w:r>
    </w:p>
    <w:p w14:paraId="27C129E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871FE8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study aims to examine how Vietnamese manufacturing could benefit from R&amp;D investment locally and from OECD countries through trade during a period marked with major trade </w:t>
      </w:r>
      <w:proofErr w:type="spellStart"/>
      <w:r w:rsidRPr="005665FF">
        <w:rPr>
          <w:rFonts w:ascii="Arial" w:eastAsia="Times New Roman" w:hAnsi="Arial" w:cs="Arial"/>
          <w:color w:val="000000"/>
          <w:sz w:val="24"/>
          <w:szCs w:val="24"/>
        </w:rPr>
        <w:t>liberalisations</w:t>
      </w:r>
      <w:proofErr w:type="spellEnd"/>
      <w:r w:rsidRPr="005665FF">
        <w:rPr>
          <w:rFonts w:ascii="Arial" w:eastAsia="Times New Roman" w:hAnsi="Arial" w:cs="Arial"/>
          <w:color w:val="000000"/>
          <w:sz w:val="24"/>
          <w:szCs w:val="24"/>
        </w:rPr>
        <w:t xml:space="preserve">. Using the industry-level data during 2000-2009, it finds that the foreign R&amp;D has accounted for the most part of the R&amp;D spillovers in the sector, with a larger proportion earning from the other foreign industries' R&amp;D. The domestic industries' own R&amp;D has improved the sector's total factor productivity, but in a relatively smaller magnitude compared to the foreign sources. In examining the </w:t>
      </w:r>
      <w:proofErr w:type="spellStart"/>
      <w:r w:rsidRPr="005665FF">
        <w:rPr>
          <w:rFonts w:ascii="Arial" w:eastAsia="Times New Roman" w:hAnsi="Arial" w:cs="Arial"/>
          <w:color w:val="000000"/>
          <w:sz w:val="24"/>
          <w:szCs w:val="24"/>
        </w:rPr>
        <w:t>localised</w:t>
      </w:r>
      <w:proofErr w:type="spellEnd"/>
      <w:r w:rsidRPr="005665FF">
        <w:rPr>
          <w:rFonts w:ascii="Arial" w:eastAsia="Times New Roman" w:hAnsi="Arial" w:cs="Arial"/>
          <w:color w:val="000000"/>
          <w:sz w:val="24"/>
          <w:szCs w:val="24"/>
        </w:rPr>
        <w:t xml:space="preserve"> effects of R&amp;D spillovers in Vietnamese manufacturing, the results reiterate the important roles of trade-embedded foreign R&amp;D spillovers from Japan, the US, South Korea, and Germany in the sector's total factor productivity growth. These findings altogether give support to foreign technology diffusion as a major conduit for growth prospects in Vietnamese manufactures.</w:t>
      </w:r>
    </w:p>
    <w:p w14:paraId="083E58F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AE6A522"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48" w:name="m_8873885906141426999__Toc2349053"/>
      <w:r w:rsidRPr="005665FF">
        <w:rPr>
          <w:rFonts w:ascii="Calibri" w:eastAsia="Times New Roman" w:hAnsi="Calibri" w:cs="Calibri"/>
          <w:b/>
          <w:bCs/>
          <w:color w:val="800000"/>
        </w:rPr>
        <w:t>Implications of regional economic conditions on the distribution of technical efficiency: Examples from coastal trawl vessels in Vietnam.</w:t>
      </w:r>
      <w:bookmarkEnd w:id="48"/>
    </w:p>
    <w:p w14:paraId="5D5A012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Quang Van Nguyen, Sean Pascoe and Louisa </w:t>
      </w:r>
      <w:proofErr w:type="spellStart"/>
      <w:r w:rsidRPr="005665FF">
        <w:rPr>
          <w:rFonts w:ascii="Arial" w:eastAsia="Times New Roman" w:hAnsi="Arial" w:cs="Arial"/>
          <w:color w:val="000000"/>
          <w:sz w:val="24"/>
          <w:szCs w:val="24"/>
        </w:rPr>
        <w:t>Coglan</w:t>
      </w:r>
      <w:proofErr w:type="spellEnd"/>
      <w:r w:rsidRPr="005665FF">
        <w:rPr>
          <w:rFonts w:ascii="Arial" w:eastAsia="Times New Roman" w:hAnsi="Arial" w:cs="Arial"/>
          <w:color w:val="000000"/>
          <w:sz w:val="24"/>
          <w:szCs w:val="24"/>
        </w:rPr>
        <w:t>. Marine Policy, 2019.</w:t>
      </w:r>
    </w:p>
    <w:p w14:paraId="60EB6CB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2B78F9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Vietnam's marine capture fisheries are open-access, and the increasing number of fishing boats has led to concerns about the sustainability of the industry. Information on the level of efficiency and its determinants can help inform appropriate regulations and policies that support sustainable fisheries. However, such management must also be sympathetic to the regional economic environment in which the fishers operate. In this paper, the level of technical efficiency and its determinants for trawl fishing vessels in Vietnam is estimated using stochastic frontier analysis. The empirical </w:t>
      </w:r>
      <w:r w:rsidRPr="005665FF">
        <w:rPr>
          <w:rFonts w:ascii="Arial" w:eastAsia="Times New Roman" w:hAnsi="Arial" w:cs="Arial"/>
          <w:color w:val="000000"/>
          <w:sz w:val="24"/>
          <w:szCs w:val="24"/>
        </w:rPr>
        <w:lastRenderedPageBreak/>
        <w:t xml:space="preserve">results suggest that the average technical efficiency of the surveyed fishermen is about 79%, suggesting potential room to improve performance. Several factors have been identified which affect technical efficiency, including the age of the vessel, skipper experience and age, distance from fishing ground, engine type and use of family members in the crew. Significant differences were also seen between regions, with technical efficiency seemingly affected by the opportunity cost of </w:t>
      </w:r>
      <w:proofErr w:type="spellStart"/>
      <w:r w:rsidRPr="005665FF">
        <w:rPr>
          <w:rFonts w:ascii="Arial" w:eastAsia="Times New Roman" w:hAnsi="Arial" w:cs="Arial"/>
          <w:color w:val="000000"/>
          <w:sz w:val="24"/>
          <w:szCs w:val="24"/>
        </w:rPr>
        <w:t>labour</w:t>
      </w:r>
      <w:proofErr w:type="spellEnd"/>
      <w:r w:rsidRPr="005665FF">
        <w:rPr>
          <w:rFonts w:ascii="Arial" w:eastAsia="Times New Roman" w:hAnsi="Arial" w:cs="Arial"/>
          <w:color w:val="000000"/>
          <w:sz w:val="24"/>
          <w:szCs w:val="24"/>
        </w:rPr>
        <w:t xml:space="preserve">. Poorer regions with fewer alternative employment opportunities were also associated with lower average technical efficiency, reflecting the effects of greater capital and </w:t>
      </w:r>
      <w:proofErr w:type="spellStart"/>
      <w:r w:rsidRPr="005665FF">
        <w:rPr>
          <w:rFonts w:ascii="Arial" w:eastAsia="Times New Roman" w:hAnsi="Arial" w:cs="Arial"/>
          <w:color w:val="000000"/>
          <w:sz w:val="24"/>
          <w:szCs w:val="24"/>
        </w:rPr>
        <w:t>labour</w:t>
      </w:r>
      <w:proofErr w:type="spellEnd"/>
      <w:r w:rsidRPr="005665FF">
        <w:rPr>
          <w:rFonts w:ascii="Arial" w:eastAsia="Times New Roman" w:hAnsi="Arial" w:cs="Arial"/>
          <w:color w:val="000000"/>
          <w:sz w:val="24"/>
          <w:szCs w:val="24"/>
        </w:rPr>
        <w:t xml:space="preserve"> non-malleability in these areas.</w:t>
      </w:r>
    </w:p>
    <w:p w14:paraId="170D44A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310044C"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49" w:name="m_8873885906141426999__Toc2349054"/>
      <w:r w:rsidRPr="005665FF">
        <w:rPr>
          <w:rFonts w:ascii="Calibri" w:eastAsia="Times New Roman" w:hAnsi="Calibri" w:cs="Calibri"/>
          <w:b/>
          <w:bCs/>
          <w:color w:val="800000"/>
        </w:rPr>
        <w:t>A tale of two networks: Market formation on the Cambodia–Vietnam frontier.</w:t>
      </w:r>
      <w:bookmarkEnd w:id="49"/>
    </w:p>
    <w:p w14:paraId="4881CFF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Sango </w:t>
      </w:r>
      <w:proofErr w:type="spellStart"/>
      <w:r w:rsidRPr="005665FF">
        <w:rPr>
          <w:rFonts w:ascii="Arial" w:eastAsia="Times New Roman" w:hAnsi="Arial" w:cs="Arial"/>
          <w:color w:val="000000"/>
          <w:sz w:val="24"/>
          <w:szCs w:val="24"/>
        </w:rPr>
        <w:t>Mahanty</w:t>
      </w:r>
      <w:proofErr w:type="spellEnd"/>
      <w:r w:rsidRPr="005665FF">
        <w:rPr>
          <w:rFonts w:ascii="Arial" w:eastAsia="Times New Roman" w:hAnsi="Arial" w:cs="Arial"/>
          <w:color w:val="000000"/>
          <w:sz w:val="24"/>
          <w:szCs w:val="24"/>
        </w:rPr>
        <w:t>. Transactions of the Institute of British Geographers, 2019.</w:t>
      </w:r>
    </w:p>
    <w:p w14:paraId="371345F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28" w:tgtFrame="_blank" w:history="1">
        <w:r w:rsidRPr="005665FF">
          <w:rPr>
            <w:rFonts w:ascii="Arial" w:eastAsia="Times New Roman" w:hAnsi="Arial" w:cs="Arial"/>
            <w:color w:val="1155CC"/>
            <w:sz w:val="24"/>
            <w:szCs w:val="24"/>
            <w:u w:val="single"/>
          </w:rPr>
          <w:t>https://rgs-ibg.onlinelibrary.wiley.com/doi/abs/10.1111/tran.12286</w:t>
        </w:r>
      </w:hyperlink>
      <w:r w:rsidRPr="005665FF">
        <w:rPr>
          <w:rFonts w:ascii="Arial" w:eastAsia="Times New Roman" w:hAnsi="Arial" w:cs="Arial"/>
          <w:color w:val="000000"/>
          <w:sz w:val="24"/>
          <w:szCs w:val="24"/>
        </w:rPr>
        <w:t>.</w:t>
      </w:r>
    </w:p>
    <w:p w14:paraId="796FE06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400E12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Although South-East Asia's trading networks have existed for millennia, recent decades have seen markets dramatically intensify in the region's frontiers, bringing social and environmental upheaval. Within political ecology, such transitions are framed as frontier incorporation into global capitalism – a process that has been ongoing since European </w:t>
      </w:r>
      <w:proofErr w:type="spellStart"/>
      <w:r w:rsidRPr="005665FF">
        <w:rPr>
          <w:rFonts w:ascii="Arial" w:eastAsia="Times New Roman" w:hAnsi="Arial" w:cs="Arial"/>
          <w:color w:val="000000"/>
          <w:sz w:val="24"/>
          <w:szCs w:val="24"/>
        </w:rPr>
        <w:t>colonisation</w:t>
      </w:r>
      <w:proofErr w:type="spellEnd"/>
      <w:r w:rsidRPr="005665FF">
        <w:rPr>
          <w:rFonts w:ascii="Arial" w:eastAsia="Times New Roman" w:hAnsi="Arial" w:cs="Arial"/>
          <w:color w:val="000000"/>
          <w:sz w:val="24"/>
          <w:szCs w:val="24"/>
        </w:rPr>
        <w:t xml:space="preserve">. This paper, however, responds to recent calls for commodity network studies to better account for specific material and social variances in “actually existing capitalism.” My analysis focuses on </w:t>
      </w:r>
      <w:proofErr w:type="spellStart"/>
      <w:r w:rsidRPr="005665FF">
        <w:rPr>
          <w:rFonts w:ascii="Arial" w:eastAsia="Times New Roman" w:hAnsi="Arial" w:cs="Arial"/>
          <w:color w:val="000000"/>
          <w:sz w:val="24"/>
          <w:szCs w:val="24"/>
        </w:rPr>
        <w:t>Mondulkiri</w:t>
      </w:r>
      <w:proofErr w:type="spellEnd"/>
      <w:r w:rsidRPr="005665FF">
        <w:rPr>
          <w:rFonts w:ascii="Arial" w:eastAsia="Times New Roman" w:hAnsi="Arial" w:cs="Arial"/>
          <w:color w:val="000000"/>
          <w:sz w:val="24"/>
          <w:szCs w:val="24"/>
        </w:rPr>
        <w:t xml:space="preserve"> province in north-eastern Cambodia, where a boom in cassava cultivation has produced two distinct commodity networks. The first network supplies dried cassava chips to trans-border markets that serve bioethanol and livestock production. The second network supplies fresh cassava to Vietnamese starch and processed food factories. In order to understand why two market networks have evolved from one crop, I </w:t>
      </w:r>
      <w:proofErr w:type="spellStart"/>
      <w:r w:rsidRPr="005665FF">
        <w:rPr>
          <w:rFonts w:ascii="Arial" w:eastAsia="Times New Roman" w:hAnsi="Arial" w:cs="Arial"/>
          <w:color w:val="000000"/>
          <w:sz w:val="24"/>
          <w:szCs w:val="24"/>
        </w:rPr>
        <w:t>analyse</w:t>
      </w:r>
      <w:proofErr w:type="spellEnd"/>
      <w:r w:rsidRPr="005665FF">
        <w:rPr>
          <w:rFonts w:ascii="Arial" w:eastAsia="Times New Roman" w:hAnsi="Arial" w:cs="Arial"/>
          <w:color w:val="000000"/>
          <w:sz w:val="24"/>
          <w:szCs w:val="24"/>
        </w:rPr>
        <w:t xml:space="preserve"> the social, material and spatial relationships in each network. Comparative analysis shows that both networks involve land and </w:t>
      </w:r>
      <w:proofErr w:type="spellStart"/>
      <w:r w:rsidRPr="005665FF">
        <w:rPr>
          <w:rFonts w:ascii="Arial" w:eastAsia="Times New Roman" w:hAnsi="Arial" w:cs="Arial"/>
          <w:color w:val="000000"/>
          <w:sz w:val="24"/>
          <w:szCs w:val="24"/>
        </w:rPr>
        <w:t>labour</w:t>
      </w:r>
      <w:proofErr w:type="spellEnd"/>
      <w:r w:rsidRPr="005665FF">
        <w:rPr>
          <w:rFonts w:ascii="Arial" w:eastAsia="Times New Roman" w:hAnsi="Arial" w:cs="Arial"/>
          <w:color w:val="000000"/>
          <w:sz w:val="24"/>
          <w:szCs w:val="24"/>
        </w:rPr>
        <w:t xml:space="preserve"> commodification and respond to global demand. Yet subtle geographical variations in transport networks, migration patterns and the availability of uncleared land, support dried cassava production in some areas and fresh cassava in others. The cassava case shows that although frontier markets are propelled by globally connected processes of commodification, they ultimately take form through co-productive networks that </w:t>
      </w:r>
      <w:proofErr w:type="spellStart"/>
      <w:r w:rsidRPr="005665FF">
        <w:rPr>
          <w:rFonts w:ascii="Arial" w:eastAsia="Times New Roman" w:hAnsi="Arial" w:cs="Arial"/>
          <w:color w:val="000000"/>
          <w:sz w:val="24"/>
          <w:szCs w:val="24"/>
        </w:rPr>
        <w:t>mould</w:t>
      </w:r>
      <w:proofErr w:type="spellEnd"/>
      <w:r w:rsidRPr="005665FF">
        <w:rPr>
          <w:rFonts w:ascii="Arial" w:eastAsia="Times New Roman" w:hAnsi="Arial" w:cs="Arial"/>
          <w:color w:val="000000"/>
          <w:sz w:val="24"/>
          <w:szCs w:val="24"/>
        </w:rPr>
        <w:t xml:space="preserve"> to and shape frontier landscapes. Furthermore, market networks are not only </w:t>
      </w:r>
      <w:proofErr w:type="spellStart"/>
      <w:r w:rsidRPr="005665FF">
        <w:rPr>
          <w:rFonts w:ascii="Arial" w:eastAsia="Times New Roman" w:hAnsi="Arial" w:cs="Arial"/>
          <w:color w:val="000000"/>
          <w:sz w:val="24"/>
          <w:szCs w:val="24"/>
        </w:rPr>
        <w:t>mobilised</w:t>
      </w:r>
      <w:proofErr w:type="spellEnd"/>
      <w:r w:rsidRPr="005665FF">
        <w:rPr>
          <w:rFonts w:ascii="Arial" w:eastAsia="Times New Roman" w:hAnsi="Arial" w:cs="Arial"/>
          <w:color w:val="000000"/>
          <w:sz w:val="24"/>
          <w:szCs w:val="24"/>
        </w:rPr>
        <w:t xml:space="preserve">, but also can be </w:t>
      </w:r>
      <w:proofErr w:type="spellStart"/>
      <w:r w:rsidRPr="005665FF">
        <w:rPr>
          <w:rFonts w:ascii="Arial" w:eastAsia="Times New Roman" w:hAnsi="Arial" w:cs="Arial"/>
          <w:color w:val="000000"/>
          <w:sz w:val="24"/>
          <w:szCs w:val="24"/>
        </w:rPr>
        <w:t>demobilised</w:t>
      </w:r>
      <w:proofErr w:type="spellEnd"/>
      <w:r w:rsidRPr="005665FF">
        <w:rPr>
          <w:rFonts w:ascii="Arial" w:eastAsia="Times New Roman" w:hAnsi="Arial" w:cs="Arial"/>
          <w:color w:val="000000"/>
          <w:sz w:val="24"/>
          <w:szCs w:val="24"/>
        </w:rPr>
        <w:t xml:space="preserve"> by environmental, economic and social pressures – a point that frontier incorporation perspectives may overlook. The paper therefore argues for an understanding of frontier geographies as dynamic and constitutive in market formation.</w:t>
      </w:r>
    </w:p>
    <w:p w14:paraId="40CA7A3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3A7A69F"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32C09E00" w14:textId="71AFFA53"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lastRenderedPageBreak/>
        <w:fldChar w:fldCharType="end"/>
      </w:r>
    </w:p>
    <w:p w14:paraId="227A3B0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637F50E"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50" w:name="m_8873885906141426999__Toc2349055"/>
      <w:r w:rsidRPr="005665FF">
        <w:rPr>
          <w:rFonts w:ascii="Arial" w:eastAsia="Times New Roman" w:hAnsi="Arial" w:cs="Arial"/>
          <w:b/>
          <w:bCs/>
          <w:color w:val="FFFFFF"/>
          <w:kern w:val="36"/>
          <w:sz w:val="48"/>
          <w:szCs w:val="48"/>
        </w:rPr>
        <w:t>EDUCATION</w:t>
      </w:r>
      <w:bookmarkEnd w:id="50"/>
    </w:p>
    <w:p w14:paraId="6BC0EEA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39165D2"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51" w:name="m_8873885906141426999__Toc2349056"/>
      <w:r w:rsidRPr="005665FF">
        <w:rPr>
          <w:rFonts w:ascii="Calibri" w:eastAsia="Times New Roman" w:hAnsi="Calibri" w:cs="Calibri"/>
          <w:b/>
          <w:bCs/>
          <w:color w:val="800000"/>
        </w:rPr>
        <w:t>The Economic Case for Education in Vietnam.</w:t>
      </w:r>
      <w:bookmarkEnd w:id="51"/>
    </w:p>
    <w:p w14:paraId="5BFC169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Harry Anthony </w:t>
      </w:r>
      <w:proofErr w:type="spellStart"/>
      <w:r w:rsidRPr="005665FF">
        <w:rPr>
          <w:rFonts w:ascii="Arial" w:eastAsia="Times New Roman" w:hAnsi="Arial" w:cs="Arial"/>
          <w:color w:val="000000"/>
          <w:sz w:val="24"/>
          <w:szCs w:val="24"/>
        </w:rPr>
        <w:t>Patrinos</w:t>
      </w:r>
      <w:proofErr w:type="spellEnd"/>
      <w:r w:rsidRPr="005665FF">
        <w:rPr>
          <w:rFonts w:ascii="Arial" w:eastAsia="Times New Roman" w:hAnsi="Arial" w:cs="Arial"/>
          <w:color w:val="000000"/>
          <w:sz w:val="24"/>
          <w:szCs w:val="24"/>
        </w:rPr>
        <w:t>, Pham Vu Thang and Nguyen Duc Thanh. World Bank Policy Research working paper; no. WPS 8679, 2018.</w:t>
      </w:r>
    </w:p>
    <w:p w14:paraId="70FC390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29" w:tgtFrame="_blank" w:history="1">
        <w:r w:rsidRPr="005665FF">
          <w:rPr>
            <w:rFonts w:ascii="Arial" w:eastAsia="Times New Roman" w:hAnsi="Arial" w:cs="Arial"/>
            <w:color w:val="1155CC"/>
            <w:sz w:val="24"/>
            <w:szCs w:val="24"/>
            <w:u w:val="single"/>
          </w:rPr>
          <w:t>http://documents.worldbank.org/curated/en/115641545141262780/The-Economic-Case-for-Education-in-Vietnam</w:t>
        </w:r>
      </w:hyperlink>
      <w:r w:rsidRPr="005665FF">
        <w:rPr>
          <w:rFonts w:ascii="Arial" w:eastAsia="Times New Roman" w:hAnsi="Arial" w:cs="Arial"/>
          <w:color w:val="000000"/>
          <w:sz w:val="24"/>
          <w:szCs w:val="24"/>
        </w:rPr>
        <w:t>.</w:t>
      </w:r>
    </w:p>
    <w:p w14:paraId="1724EA5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E3F880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Education is central to the development of human capital. Vietnam has made significant progress. This paper reviews existing research on the returns to education and makes the case for investment in schooling. In Vietnam, the returns to schooling are 10 percent overall. The returns to primary and secondary education have declined over time and are lower than the regional average. The returns to secondary education are low, but not much lower than the regional average. The returns to tertiary education are high, have increased considerably, and are about 20 percent. Therefore, investing in higher education makes sense for the individual and her family.</w:t>
      </w:r>
    </w:p>
    <w:p w14:paraId="6652BF7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F877420"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52" w:name="m_8873885906141426999__Toc2349057"/>
      <w:r w:rsidRPr="005665FF">
        <w:rPr>
          <w:rFonts w:ascii="Calibri" w:eastAsia="Times New Roman" w:hAnsi="Calibri" w:cs="Calibri"/>
          <w:b/>
          <w:bCs/>
          <w:color w:val="800000"/>
        </w:rPr>
        <w:t>Education and the livelihood of households in the Northwest Region, Vietnam.</w:t>
      </w:r>
      <w:bookmarkEnd w:id="52"/>
    </w:p>
    <w:p w14:paraId="5A7E9ED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Tuyen Tran, Tai Anh Tran, Nu </w:t>
      </w:r>
      <w:proofErr w:type="gramStart"/>
      <w:r w:rsidRPr="005665FF">
        <w:rPr>
          <w:rFonts w:ascii="Arial" w:eastAsia="Times New Roman" w:hAnsi="Arial" w:cs="Arial"/>
          <w:color w:val="000000"/>
          <w:sz w:val="24"/>
          <w:szCs w:val="24"/>
        </w:rPr>
        <w:t>The</w:t>
      </w:r>
      <w:proofErr w:type="gramEnd"/>
      <w:r w:rsidRPr="005665FF">
        <w:rPr>
          <w:rFonts w:ascii="Arial" w:eastAsia="Times New Roman" w:hAnsi="Arial" w:cs="Arial"/>
          <w:color w:val="000000"/>
          <w:sz w:val="24"/>
          <w:szCs w:val="24"/>
        </w:rPr>
        <w:t xml:space="preserve"> Tran and Hai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Nguyen. Germany MPRA Paper from University Library of Munich, 2018.</w:t>
      </w:r>
    </w:p>
    <w:p w14:paraId="46A0157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30" w:tgtFrame="_blank" w:history="1">
        <w:r w:rsidRPr="005665FF">
          <w:rPr>
            <w:rFonts w:ascii="Arial" w:eastAsia="Times New Roman" w:hAnsi="Arial" w:cs="Arial"/>
            <w:color w:val="1155CC"/>
            <w:sz w:val="24"/>
            <w:szCs w:val="24"/>
            <w:u w:val="single"/>
          </w:rPr>
          <w:t>https://econpapers.repec.org/paper/pramprapa/90414.htm</w:t>
        </w:r>
      </w:hyperlink>
      <w:r w:rsidRPr="005665FF">
        <w:rPr>
          <w:rFonts w:ascii="Arial" w:eastAsia="Times New Roman" w:hAnsi="Arial" w:cs="Arial"/>
          <w:color w:val="000000"/>
          <w:sz w:val="24"/>
          <w:szCs w:val="24"/>
        </w:rPr>
        <w:t>.</w:t>
      </w:r>
    </w:p>
    <w:p w14:paraId="06653A8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482DF8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Using the updated data from the 2016 Vietnam Household Living Standard Survey, this study examines the role of education in the livelihood of households in the Northwest Region, the poorest region in Vietnam. Our micro-econometric analysis shows that education has a positive effect on choosing better livelihoods, on household income and poverty reduction, even after controlling for all other factors in the models. However, our quantile regression analysis reveals that the returns on education are substantially heterogeneous across percentiles of income distribution and tend to be higher for better-off households. This implies that education has an increasing effect on within-level income inequality. The finding suggests that a conventional approach </w:t>
      </w:r>
      <w:r w:rsidRPr="005665FF">
        <w:rPr>
          <w:rFonts w:ascii="Arial" w:eastAsia="Times New Roman" w:hAnsi="Arial" w:cs="Arial"/>
          <w:color w:val="000000"/>
          <w:sz w:val="24"/>
          <w:szCs w:val="24"/>
        </w:rPr>
        <w:lastRenderedPageBreak/>
        <w:t>employing only mean regression to study the effect of education on income could miss heterogeneity of interest to policymakers</w:t>
      </w:r>
      <w:proofErr w:type="gramStart"/>
      <w:r w:rsidRPr="005665FF">
        <w:rPr>
          <w:rFonts w:ascii="Arial" w:eastAsia="Times New Roman" w:hAnsi="Arial" w:cs="Arial"/>
          <w:color w:val="000000"/>
          <w:sz w:val="24"/>
          <w:szCs w:val="24"/>
        </w:rPr>
        <w:t>. .</w:t>
      </w:r>
      <w:proofErr w:type="gramEnd"/>
    </w:p>
    <w:p w14:paraId="5BC6F8E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D13CA0A"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7B47268E" w14:textId="2B3AD972"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739F0CB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7B7E7DB"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53" w:name="m_8873885906141426999__Toc2349058"/>
      <w:r w:rsidRPr="005665FF">
        <w:rPr>
          <w:rFonts w:ascii="Calibri" w:eastAsia="Times New Roman" w:hAnsi="Calibri" w:cs="Calibri"/>
          <w:b/>
          <w:bCs/>
          <w:color w:val="800000"/>
        </w:rPr>
        <w:t>Searching for education for sustainable development in Vietnam.</w:t>
      </w:r>
      <w:bookmarkEnd w:id="53"/>
    </w:p>
    <w:p w14:paraId="25467D8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Thao Phuong Nguyen. Environmental Education Research, 2019, pp. 1-13.</w:t>
      </w:r>
    </w:p>
    <w:p w14:paraId="1C4A43A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8129D4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article discusses how the purpose of Education for Sustainable Development (ESD) is reflected within the perception of teachers and educational stakeholders in Vietnam and whether a difference exists between the two respondent groups? perspectives. </w:t>
      </w:r>
      <w:proofErr w:type="spellStart"/>
      <w:proofErr w:type="gramStart"/>
      <w:r w:rsidRPr="005665FF">
        <w:rPr>
          <w:rFonts w:ascii="Arial" w:eastAsia="Times New Roman" w:hAnsi="Arial" w:cs="Arial"/>
          <w:color w:val="000000"/>
          <w:sz w:val="24"/>
          <w:szCs w:val="24"/>
        </w:rPr>
        <w:t>Biesta?s</w:t>
      </w:r>
      <w:proofErr w:type="spellEnd"/>
      <w:proofErr w:type="gramEnd"/>
      <w:r w:rsidRPr="005665FF">
        <w:rPr>
          <w:rFonts w:ascii="Arial" w:eastAsia="Times New Roman" w:hAnsi="Arial" w:cs="Arial"/>
          <w:color w:val="000000"/>
          <w:sz w:val="24"/>
          <w:szCs w:val="24"/>
        </w:rPr>
        <w:t xml:space="preserve"> three functions of education, qualification, socialization, and subjectification, are considered to be the theoretical outline for analyzing perceptions of the respondents. The empirical material for this analysis consists of interviews in Vietnam with secondary teachers and educational stakeholders. The perspectives of the two groups regarding the purposes of ESD somewhat overlap: central interests in ESD discourse are to qualify students with knowledge, skills, and competences, and to teach them how to behave in sustainable ways. In other words, qualification and socialization, not subjectification, are major concerns of the respondents. This reflection, to some extent, reveals </w:t>
      </w:r>
      <w:proofErr w:type="spellStart"/>
      <w:proofErr w:type="gramStart"/>
      <w:r w:rsidRPr="005665FF">
        <w:rPr>
          <w:rFonts w:ascii="Arial" w:eastAsia="Times New Roman" w:hAnsi="Arial" w:cs="Arial"/>
          <w:color w:val="000000"/>
          <w:sz w:val="24"/>
          <w:szCs w:val="24"/>
        </w:rPr>
        <w:t>Vietnam?s</w:t>
      </w:r>
      <w:proofErr w:type="spellEnd"/>
      <w:proofErr w:type="gramEnd"/>
      <w:r w:rsidRPr="005665FF">
        <w:rPr>
          <w:rFonts w:ascii="Arial" w:eastAsia="Times New Roman" w:hAnsi="Arial" w:cs="Arial"/>
          <w:color w:val="000000"/>
          <w:sz w:val="24"/>
          <w:szCs w:val="24"/>
        </w:rPr>
        <w:t xml:space="preserve"> sustainable development priorities and the role education should play.</w:t>
      </w:r>
    </w:p>
    <w:p w14:paraId="2D27D84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CA0D376"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54" w:name="m_8873885906141426999__Toc2349059"/>
      <w:r w:rsidRPr="005665FF">
        <w:rPr>
          <w:rFonts w:ascii="Calibri" w:eastAsia="Times New Roman" w:hAnsi="Calibri" w:cs="Calibri"/>
          <w:b/>
          <w:bCs/>
          <w:color w:val="800000"/>
        </w:rPr>
        <w:t xml:space="preserve">The impact of parental illness on children’s schooling and </w:t>
      </w:r>
      <w:proofErr w:type="spellStart"/>
      <w:r w:rsidRPr="005665FF">
        <w:rPr>
          <w:rFonts w:ascii="Calibri" w:eastAsia="Times New Roman" w:hAnsi="Calibri" w:cs="Calibri"/>
          <w:b/>
          <w:bCs/>
          <w:color w:val="800000"/>
        </w:rPr>
        <w:t>labour</w:t>
      </w:r>
      <w:proofErr w:type="spellEnd"/>
      <w:r w:rsidRPr="005665FF">
        <w:rPr>
          <w:rFonts w:ascii="Calibri" w:eastAsia="Times New Roman" w:hAnsi="Calibri" w:cs="Calibri"/>
          <w:b/>
          <w:bCs/>
          <w:color w:val="800000"/>
        </w:rPr>
        <w:t xml:space="preserve"> force participation: evidence from Vietnam.</w:t>
      </w:r>
      <w:bookmarkEnd w:id="54"/>
    </w:p>
    <w:p w14:paraId="70DD547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Silvia </w:t>
      </w:r>
      <w:proofErr w:type="spellStart"/>
      <w:r w:rsidRPr="005665FF">
        <w:rPr>
          <w:rFonts w:ascii="Arial" w:eastAsia="Times New Roman" w:hAnsi="Arial" w:cs="Arial"/>
          <w:color w:val="000000"/>
          <w:sz w:val="24"/>
          <w:szCs w:val="24"/>
        </w:rPr>
        <w:t>Mendolia</w:t>
      </w:r>
      <w:proofErr w:type="spellEnd"/>
      <w:r w:rsidRPr="005665FF">
        <w:rPr>
          <w:rFonts w:ascii="Arial" w:eastAsia="Times New Roman" w:hAnsi="Arial" w:cs="Arial"/>
          <w:color w:val="000000"/>
          <w:sz w:val="24"/>
          <w:szCs w:val="24"/>
        </w:rPr>
        <w:t xml:space="preserve">, Nga Nguyen and Oleg </w:t>
      </w:r>
      <w:proofErr w:type="spellStart"/>
      <w:r w:rsidRPr="005665FF">
        <w:rPr>
          <w:rFonts w:ascii="Arial" w:eastAsia="Times New Roman" w:hAnsi="Arial" w:cs="Arial"/>
          <w:color w:val="000000"/>
          <w:sz w:val="24"/>
          <w:szCs w:val="24"/>
        </w:rPr>
        <w:t>Yerokhin</w:t>
      </w:r>
      <w:proofErr w:type="spellEnd"/>
      <w:r w:rsidRPr="005665FF">
        <w:rPr>
          <w:rFonts w:ascii="Arial" w:eastAsia="Times New Roman" w:hAnsi="Arial" w:cs="Arial"/>
          <w:color w:val="000000"/>
          <w:sz w:val="24"/>
          <w:szCs w:val="24"/>
        </w:rPr>
        <w:t>. Review of Economics of the Household, 2019.</w:t>
      </w:r>
    </w:p>
    <w:p w14:paraId="75FF651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1D57B1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paper investigates the relationship between parental illness and children’s engagement in education and </w:t>
      </w:r>
      <w:proofErr w:type="spellStart"/>
      <w:r w:rsidRPr="005665FF">
        <w:rPr>
          <w:rFonts w:ascii="Arial" w:eastAsia="Times New Roman" w:hAnsi="Arial" w:cs="Arial"/>
          <w:color w:val="000000"/>
          <w:sz w:val="24"/>
          <w:szCs w:val="24"/>
        </w:rPr>
        <w:t>labour</w:t>
      </w:r>
      <w:proofErr w:type="spellEnd"/>
      <w:r w:rsidRPr="005665FF">
        <w:rPr>
          <w:rFonts w:ascii="Arial" w:eastAsia="Times New Roman" w:hAnsi="Arial" w:cs="Arial"/>
          <w:color w:val="000000"/>
          <w:sz w:val="24"/>
          <w:szCs w:val="24"/>
        </w:rPr>
        <w:t xml:space="preserve"> market, using a panel data from Vietnam. While there is substantial evidence showing the intergenerational transmission of health, the literature investigating the impact of parental health on children’s educational and </w:t>
      </w:r>
      <w:proofErr w:type="spellStart"/>
      <w:r w:rsidRPr="005665FF">
        <w:rPr>
          <w:rFonts w:ascii="Arial" w:eastAsia="Times New Roman" w:hAnsi="Arial" w:cs="Arial"/>
          <w:color w:val="000000"/>
          <w:sz w:val="24"/>
          <w:szCs w:val="24"/>
        </w:rPr>
        <w:t>labour</w:t>
      </w:r>
      <w:proofErr w:type="spellEnd"/>
      <w:r w:rsidRPr="005665FF">
        <w:rPr>
          <w:rFonts w:ascii="Arial" w:eastAsia="Times New Roman" w:hAnsi="Arial" w:cs="Arial"/>
          <w:color w:val="000000"/>
          <w:sz w:val="24"/>
          <w:szCs w:val="24"/>
        </w:rPr>
        <w:t xml:space="preserve"> market outcomes is limited, especially in developing countries. We use child fixed effects and control for a detailed set of household and local area characteristics. Our main findings show that maternal illness substantially decreases </w:t>
      </w:r>
      <w:r w:rsidRPr="005665FF">
        <w:rPr>
          <w:rFonts w:ascii="Arial" w:eastAsia="Times New Roman" w:hAnsi="Arial" w:cs="Arial"/>
          <w:color w:val="000000"/>
          <w:sz w:val="24"/>
          <w:szCs w:val="24"/>
        </w:rPr>
        <w:lastRenderedPageBreak/>
        <w:t xml:space="preserve">chances of being enrolled in school for children between 11 and 23 years old and, at the same time, increases the children’s likelihood of entering the </w:t>
      </w:r>
      <w:proofErr w:type="spellStart"/>
      <w:r w:rsidRPr="005665FF">
        <w:rPr>
          <w:rFonts w:ascii="Arial" w:eastAsia="Times New Roman" w:hAnsi="Arial" w:cs="Arial"/>
          <w:color w:val="000000"/>
          <w:sz w:val="24"/>
          <w:szCs w:val="24"/>
        </w:rPr>
        <w:t>labour</w:t>
      </w:r>
      <w:proofErr w:type="spellEnd"/>
      <w:r w:rsidRPr="005665FF">
        <w:rPr>
          <w:rFonts w:ascii="Arial" w:eastAsia="Times New Roman" w:hAnsi="Arial" w:cs="Arial"/>
          <w:color w:val="000000"/>
          <w:sz w:val="24"/>
          <w:szCs w:val="24"/>
        </w:rPr>
        <w:t xml:space="preserve"> market and working more hours. The effect is particularly pronounced for girls, who seem to experience worst adverse consequences in terms of education and </w:t>
      </w:r>
      <w:proofErr w:type="spellStart"/>
      <w:r w:rsidRPr="005665FF">
        <w:rPr>
          <w:rFonts w:ascii="Arial" w:eastAsia="Times New Roman" w:hAnsi="Arial" w:cs="Arial"/>
          <w:color w:val="000000"/>
          <w:sz w:val="24"/>
          <w:szCs w:val="24"/>
        </w:rPr>
        <w:t>labour</w:t>
      </w:r>
      <w:proofErr w:type="spellEnd"/>
      <w:r w:rsidRPr="005665FF">
        <w:rPr>
          <w:rFonts w:ascii="Arial" w:eastAsia="Times New Roman" w:hAnsi="Arial" w:cs="Arial"/>
          <w:color w:val="000000"/>
          <w:sz w:val="24"/>
          <w:szCs w:val="24"/>
        </w:rPr>
        <w:t xml:space="preserve"> market engagement.</w:t>
      </w:r>
    </w:p>
    <w:p w14:paraId="55E1196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EF1DF48"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379910D0" w14:textId="500FC1F8"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0626C77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8BEFA26"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55" w:name="m_8873885906141426999__Toc2349060"/>
      <w:r w:rsidRPr="005665FF">
        <w:rPr>
          <w:rFonts w:ascii="Calibri" w:eastAsia="Times New Roman" w:hAnsi="Calibri" w:cs="Calibri"/>
          <w:b/>
          <w:bCs/>
          <w:color w:val="800000"/>
        </w:rPr>
        <w:t>Education and Services for Deaf People in Viet Nam.</w:t>
      </w:r>
      <w:bookmarkEnd w:id="55"/>
    </w:p>
    <w:p w14:paraId="718F361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Nguyen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and James Woodward. in: Deaf Education Beyond the Western World: Context, Challenges, and Prospects, Oxford University Press, 2019.</w:t>
      </w:r>
    </w:p>
    <w:p w14:paraId="1E1A98E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D687E4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Frist paragraph: The first article related to linguistic research on sign languages in Viet Nam was an historical-comparative study of sign language varieties in the country (Woodward, 2000). This research demonstrated that there were three distinct but historically related sign languages in Viet Nam: Ha </w:t>
      </w:r>
      <w:proofErr w:type="spellStart"/>
      <w:r w:rsidRPr="005665FF">
        <w:rPr>
          <w:rFonts w:ascii="Arial" w:eastAsia="Times New Roman" w:hAnsi="Arial" w:cs="Arial"/>
          <w:color w:val="000000"/>
          <w:sz w:val="24"/>
          <w:szCs w:val="24"/>
        </w:rPr>
        <w:t>Noi</w:t>
      </w:r>
      <w:proofErr w:type="spellEnd"/>
      <w:r w:rsidRPr="005665FF">
        <w:rPr>
          <w:rFonts w:ascii="Arial" w:eastAsia="Times New Roman" w:hAnsi="Arial" w:cs="Arial"/>
          <w:color w:val="000000"/>
          <w:sz w:val="24"/>
          <w:szCs w:val="24"/>
        </w:rPr>
        <w:t xml:space="preserve"> Sign Language (HNSL), Hai </w:t>
      </w:r>
      <w:proofErr w:type="spellStart"/>
      <w:r w:rsidRPr="005665FF">
        <w:rPr>
          <w:rFonts w:ascii="Arial" w:eastAsia="Times New Roman" w:hAnsi="Arial" w:cs="Arial"/>
          <w:color w:val="000000"/>
          <w:sz w:val="24"/>
          <w:szCs w:val="24"/>
        </w:rPr>
        <w:t>Phong</w:t>
      </w:r>
      <w:proofErr w:type="spellEnd"/>
      <w:r w:rsidRPr="005665FF">
        <w:rPr>
          <w:rFonts w:ascii="Arial" w:eastAsia="Times New Roman" w:hAnsi="Arial" w:cs="Arial"/>
          <w:color w:val="000000"/>
          <w:sz w:val="24"/>
          <w:szCs w:val="24"/>
        </w:rPr>
        <w:t xml:space="preserve"> Sign Language (HPSL), and Ho Chi Minh City Sign Language (HCMCSL). These three sign languages, while typologically quite similar, share only 54% to 58% of their core basic vocabulary, less than the 61% of shared core basic vocabulary between American Sign Language and French Sign Language (Woodward, 1978). A later related article discussed some of the characteristics of the Deaf identities in the Deaf communities in Viet Nam that use these three sign languages (Woodward, 2003). While linguists and deaf associations have advocated for the preservation and use of indigenous sign languages in education, the government of Viet Nam has been trying since 1999, so far unsuccessfully, to "unify" the sign languages in the country.</w:t>
      </w:r>
    </w:p>
    <w:p w14:paraId="2CC24C8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4FDC682"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56" w:name="m_8873885906141426999__Toc2349061"/>
      <w:r w:rsidRPr="005665FF">
        <w:rPr>
          <w:rFonts w:ascii="Calibri" w:eastAsia="Times New Roman" w:hAnsi="Calibri" w:cs="Calibri"/>
          <w:b/>
          <w:bCs/>
          <w:color w:val="800000"/>
        </w:rPr>
        <w:t>Limited legitimacy among academics of centrally driven approaches to internal quality assurance in Vietnam.</w:t>
      </w:r>
      <w:bookmarkEnd w:id="56"/>
    </w:p>
    <w:p w14:paraId="06B5344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Huong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Pham. Journal of Higher Education Policy and Management, 2019, pp. 1-14.</w:t>
      </w:r>
    </w:p>
    <w:p w14:paraId="70A46E5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F2945C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For more than 15 years, Vietnam has worked to develop a quality assurance (QA) system as part of its effort to reform higher education. The </w:t>
      </w:r>
      <w:proofErr w:type="spellStart"/>
      <w:proofErr w:type="gramStart"/>
      <w:r w:rsidRPr="005665FF">
        <w:rPr>
          <w:rFonts w:ascii="Arial" w:eastAsia="Times New Roman" w:hAnsi="Arial" w:cs="Arial"/>
          <w:color w:val="000000"/>
          <w:sz w:val="24"/>
          <w:szCs w:val="24"/>
        </w:rPr>
        <w:t>government?s</w:t>
      </w:r>
      <w:proofErr w:type="spellEnd"/>
      <w:proofErr w:type="gramEnd"/>
      <w:r w:rsidRPr="005665FF">
        <w:rPr>
          <w:rFonts w:ascii="Arial" w:eastAsia="Times New Roman" w:hAnsi="Arial" w:cs="Arial"/>
          <w:color w:val="000000"/>
          <w:sz w:val="24"/>
          <w:szCs w:val="24"/>
        </w:rPr>
        <w:t xml:space="preserve"> effort seeks to respond to widespread criticism over the quality of training in higher education. The appropriation of western QA mechanisms and the effectiveness of the QA system as it has been implemented, however, is still viewed with </w:t>
      </w:r>
      <w:proofErr w:type="spellStart"/>
      <w:r w:rsidRPr="005665FF">
        <w:rPr>
          <w:rFonts w:ascii="Arial" w:eastAsia="Times New Roman" w:hAnsi="Arial" w:cs="Arial"/>
          <w:color w:val="000000"/>
          <w:sz w:val="24"/>
          <w:szCs w:val="24"/>
        </w:rPr>
        <w:t>scepticism</w:t>
      </w:r>
      <w:proofErr w:type="spellEnd"/>
      <w:r w:rsidRPr="005665FF">
        <w:rPr>
          <w:rFonts w:ascii="Arial" w:eastAsia="Times New Roman" w:hAnsi="Arial" w:cs="Arial"/>
          <w:color w:val="000000"/>
          <w:sz w:val="24"/>
          <w:szCs w:val="24"/>
        </w:rPr>
        <w:t xml:space="preserve">. This paper reports </w:t>
      </w:r>
      <w:r w:rsidRPr="005665FF">
        <w:rPr>
          <w:rFonts w:ascii="Arial" w:eastAsia="Times New Roman" w:hAnsi="Arial" w:cs="Arial"/>
          <w:color w:val="000000"/>
          <w:sz w:val="24"/>
          <w:szCs w:val="24"/>
        </w:rPr>
        <w:lastRenderedPageBreak/>
        <w:t>on a study of academics and QA practitioners? perceptions of quality assurance. Documentation and in-depth interviews were used in the study. The findings show that QA remains a new concept in the country, which appears to have promoted a compliance-driven approach to mandated policies rather than a system that promotes academics? engagement in continuous improvement. Moreover, the appropriated mechanism may be seen as contradictory to the values respected by academics and rooted in a Confucian society.</w:t>
      </w:r>
    </w:p>
    <w:p w14:paraId="1D661AF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1262AF5"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57" w:name="m_8873885906141426999__Toc2349062"/>
      <w:r w:rsidRPr="005665FF">
        <w:rPr>
          <w:rFonts w:ascii="Calibri" w:eastAsia="Times New Roman" w:hAnsi="Calibri" w:cs="Calibri"/>
          <w:b/>
          <w:bCs/>
          <w:color w:val="800000"/>
        </w:rPr>
        <w:t>Learning Motivations, Learning Outcomes and Gender in Vietnam.</w:t>
      </w:r>
      <w:bookmarkEnd w:id="57"/>
    </w:p>
    <w:p w14:paraId="604AEB0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Obiageri</w:t>
      </w:r>
      <w:proofErr w:type="spellEnd"/>
      <w:r w:rsidRPr="005665FF">
        <w:rPr>
          <w:rFonts w:ascii="Arial" w:eastAsia="Times New Roman" w:hAnsi="Arial" w:cs="Arial"/>
          <w:color w:val="000000"/>
          <w:sz w:val="24"/>
          <w:szCs w:val="24"/>
        </w:rPr>
        <w:t xml:space="preserve"> Bridget Azubuike and Angela W. Little. Young Lives working paper 181, 2019.</w:t>
      </w:r>
    </w:p>
    <w:p w14:paraId="3527F08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31" w:tgtFrame="_blank" w:history="1">
        <w:r w:rsidRPr="005665FF">
          <w:rPr>
            <w:rFonts w:ascii="Arial" w:eastAsia="Times New Roman" w:hAnsi="Arial" w:cs="Arial"/>
            <w:color w:val="1155CC"/>
            <w:sz w:val="24"/>
            <w:szCs w:val="24"/>
            <w:u w:val="single"/>
          </w:rPr>
          <w:t>https://www.younglives.org.uk/sites/www.younglives.org.uk/files/YL-WP181.pdf</w:t>
        </w:r>
      </w:hyperlink>
      <w:r w:rsidRPr="005665FF">
        <w:rPr>
          <w:rFonts w:ascii="Arial" w:eastAsia="Times New Roman" w:hAnsi="Arial" w:cs="Arial"/>
          <w:color w:val="000000"/>
          <w:sz w:val="24"/>
          <w:szCs w:val="24"/>
        </w:rPr>
        <w:t>.</w:t>
      </w:r>
    </w:p>
    <w:p w14:paraId="5842EAE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A3A1F1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working paper uses the 2016-17 Young Lives school survey data in Vietnam to examine learning outcomes and learning motivations for boys and girls in Grade 10. It examines how differences in learning motivations impact on learning outcomes and future expectations, and also examines the determinants of these differences and their relationships with student’s background and prior learning attainment. --- The findings reveal that girls are approaching their studies with more discipline and diligence than boys on average. In general, girls demonstrate more of the </w:t>
      </w:r>
      <w:proofErr w:type="spellStart"/>
      <w:r w:rsidRPr="005665FF">
        <w:rPr>
          <w:rFonts w:ascii="Arial" w:eastAsia="Times New Roman" w:hAnsi="Arial" w:cs="Arial"/>
          <w:color w:val="000000"/>
          <w:sz w:val="24"/>
          <w:szCs w:val="24"/>
        </w:rPr>
        <w:t>favourable</w:t>
      </w:r>
      <w:proofErr w:type="spellEnd"/>
      <w:r w:rsidRPr="005665FF">
        <w:rPr>
          <w:rFonts w:ascii="Arial" w:eastAsia="Times New Roman" w:hAnsi="Arial" w:cs="Arial"/>
          <w:color w:val="000000"/>
          <w:sz w:val="24"/>
          <w:szCs w:val="24"/>
        </w:rPr>
        <w:t xml:space="preserve"> traits and attitudes to learning. The findings also indicate that, on average, girls are doing better in both </w:t>
      </w:r>
      <w:proofErr w:type="spellStart"/>
      <w:r w:rsidRPr="005665FF">
        <w:rPr>
          <w:rFonts w:ascii="Arial" w:eastAsia="Times New Roman" w:hAnsi="Arial" w:cs="Arial"/>
          <w:color w:val="000000"/>
          <w:sz w:val="24"/>
          <w:szCs w:val="24"/>
        </w:rPr>
        <w:t>maths</w:t>
      </w:r>
      <w:proofErr w:type="spellEnd"/>
      <w:r w:rsidRPr="005665FF">
        <w:rPr>
          <w:rFonts w:ascii="Arial" w:eastAsia="Times New Roman" w:hAnsi="Arial" w:cs="Arial"/>
          <w:color w:val="000000"/>
          <w:sz w:val="24"/>
          <w:szCs w:val="24"/>
        </w:rPr>
        <w:t xml:space="preserve"> and English and making better progress. However, their superior performance in mathematics isn’t robust enough to remain in their </w:t>
      </w:r>
      <w:proofErr w:type="spellStart"/>
      <w:r w:rsidRPr="005665FF">
        <w:rPr>
          <w:rFonts w:ascii="Arial" w:eastAsia="Times New Roman" w:hAnsi="Arial" w:cs="Arial"/>
          <w:color w:val="000000"/>
          <w:sz w:val="24"/>
          <w:szCs w:val="24"/>
        </w:rPr>
        <w:t>favour</w:t>
      </w:r>
      <w:proofErr w:type="spellEnd"/>
      <w:r w:rsidRPr="005665FF">
        <w:rPr>
          <w:rFonts w:ascii="Arial" w:eastAsia="Times New Roman" w:hAnsi="Arial" w:cs="Arial"/>
          <w:color w:val="000000"/>
          <w:sz w:val="24"/>
          <w:szCs w:val="24"/>
        </w:rPr>
        <w:t xml:space="preserve"> in more sophisticated analysis. Even though girls are on average doing better in </w:t>
      </w:r>
      <w:proofErr w:type="spellStart"/>
      <w:r w:rsidRPr="005665FF">
        <w:rPr>
          <w:rFonts w:ascii="Arial" w:eastAsia="Times New Roman" w:hAnsi="Arial" w:cs="Arial"/>
          <w:color w:val="000000"/>
          <w:sz w:val="24"/>
          <w:szCs w:val="24"/>
        </w:rPr>
        <w:t>maths</w:t>
      </w:r>
      <w:proofErr w:type="spellEnd"/>
      <w:r w:rsidRPr="005665FF">
        <w:rPr>
          <w:rFonts w:ascii="Arial" w:eastAsia="Times New Roman" w:hAnsi="Arial" w:cs="Arial"/>
          <w:color w:val="000000"/>
          <w:sz w:val="24"/>
          <w:szCs w:val="24"/>
        </w:rPr>
        <w:t xml:space="preserve">, their beliefs about their </w:t>
      </w:r>
      <w:proofErr w:type="spellStart"/>
      <w:r w:rsidRPr="005665FF">
        <w:rPr>
          <w:rFonts w:ascii="Arial" w:eastAsia="Times New Roman" w:hAnsi="Arial" w:cs="Arial"/>
          <w:color w:val="000000"/>
          <w:sz w:val="24"/>
          <w:szCs w:val="24"/>
        </w:rPr>
        <w:t>maths</w:t>
      </w:r>
      <w:proofErr w:type="spellEnd"/>
      <w:r w:rsidRPr="005665FF">
        <w:rPr>
          <w:rFonts w:ascii="Arial" w:eastAsia="Times New Roman" w:hAnsi="Arial" w:cs="Arial"/>
          <w:color w:val="000000"/>
          <w:sz w:val="24"/>
          <w:szCs w:val="24"/>
        </w:rPr>
        <w:t xml:space="preserve"> abilities are low. Boys tend to have higher confidence in their </w:t>
      </w:r>
      <w:proofErr w:type="spellStart"/>
      <w:r w:rsidRPr="005665FF">
        <w:rPr>
          <w:rFonts w:ascii="Arial" w:eastAsia="Times New Roman" w:hAnsi="Arial" w:cs="Arial"/>
          <w:color w:val="000000"/>
          <w:sz w:val="24"/>
          <w:szCs w:val="24"/>
        </w:rPr>
        <w:t>maths</w:t>
      </w:r>
      <w:proofErr w:type="spellEnd"/>
      <w:r w:rsidRPr="005665FF">
        <w:rPr>
          <w:rFonts w:ascii="Arial" w:eastAsia="Times New Roman" w:hAnsi="Arial" w:cs="Arial"/>
          <w:color w:val="000000"/>
          <w:sz w:val="24"/>
          <w:szCs w:val="24"/>
        </w:rPr>
        <w:t xml:space="preserve"> abilities. The paper highlights four areas requiring attention in research and policy discussions on gender equity in Vietnam: how to raise girls’ self-concepts in </w:t>
      </w:r>
      <w:proofErr w:type="spellStart"/>
      <w:r w:rsidRPr="005665FF">
        <w:rPr>
          <w:rFonts w:ascii="Arial" w:eastAsia="Times New Roman" w:hAnsi="Arial" w:cs="Arial"/>
          <w:color w:val="000000"/>
          <w:sz w:val="24"/>
          <w:szCs w:val="24"/>
        </w:rPr>
        <w:t>maths</w:t>
      </w:r>
      <w:proofErr w:type="spellEnd"/>
      <w:r w:rsidRPr="005665FF">
        <w:rPr>
          <w:rFonts w:ascii="Arial" w:eastAsia="Times New Roman" w:hAnsi="Arial" w:cs="Arial"/>
          <w:color w:val="000000"/>
          <w:sz w:val="24"/>
          <w:szCs w:val="24"/>
        </w:rPr>
        <w:t>; how to increase interest-oriented learning and reduce assessment-oriented learning; how to raise boys’ motivations for learning in general; and, through them, how to increase boys’ performance in English language and problem-solving.</w:t>
      </w:r>
    </w:p>
    <w:p w14:paraId="42C7B5A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28FE07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hyperlink r:id="rId32" w:anchor="m_8873885906141426999__top" w:history="1">
        <w:r w:rsidRPr="005665FF">
          <w:rPr>
            <w:rFonts w:ascii="Arial" w:eastAsia="Times New Roman" w:hAnsi="Arial" w:cs="Arial"/>
            <w:color w:val="1155CC"/>
            <w:sz w:val="24"/>
            <w:szCs w:val="24"/>
            <w:u w:val="single"/>
          </w:rPr>
          <w:t>Back to top</w:t>
        </w:r>
      </w:hyperlink>
    </w:p>
    <w:p w14:paraId="64A4170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614CF9A"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58" w:name="m_8873885906141426999__Toc2349063"/>
      <w:r w:rsidRPr="005665FF">
        <w:rPr>
          <w:rFonts w:ascii="Arial" w:eastAsia="Times New Roman" w:hAnsi="Arial" w:cs="Arial"/>
          <w:b/>
          <w:bCs/>
          <w:color w:val="FFFFFF"/>
          <w:kern w:val="36"/>
          <w:sz w:val="48"/>
          <w:szCs w:val="48"/>
        </w:rPr>
        <w:t>ENVIRONMENT</w:t>
      </w:r>
      <w:bookmarkEnd w:id="58"/>
    </w:p>
    <w:p w14:paraId="676CFFD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B9EC998"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59" w:name="m_8873885906141426999__Toc2349064"/>
      <w:r w:rsidRPr="005665FF">
        <w:rPr>
          <w:rFonts w:ascii="Calibri" w:eastAsia="Times New Roman" w:hAnsi="Calibri" w:cs="Calibri"/>
          <w:b/>
          <w:bCs/>
          <w:color w:val="800000"/>
        </w:rPr>
        <w:t>Do strategic delta plans get implemented? The case of the Mekong Delta Plan.</w:t>
      </w:r>
      <w:bookmarkEnd w:id="59"/>
    </w:p>
    <w:p w14:paraId="75A8AFC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xml:space="preserve">Chris </w:t>
      </w:r>
      <w:proofErr w:type="spellStart"/>
      <w:r w:rsidRPr="005665FF">
        <w:rPr>
          <w:rFonts w:ascii="Arial" w:eastAsia="Times New Roman" w:hAnsi="Arial" w:cs="Arial"/>
          <w:color w:val="000000"/>
          <w:sz w:val="24"/>
          <w:szCs w:val="24"/>
        </w:rPr>
        <w:t>Seijger</w:t>
      </w:r>
      <w:proofErr w:type="spellEnd"/>
      <w:r w:rsidRPr="005665FF">
        <w:rPr>
          <w:rFonts w:ascii="Arial" w:eastAsia="Times New Roman" w:hAnsi="Arial" w:cs="Arial"/>
          <w:color w:val="000000"/>
          <w:sz w:val="24"/>
          <w:szCs w:val="24"/>
        </w:rPr>
        <w:t xml:space="preserve">, Vo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Minh Hoang, Gerardo van </w:t>
      </w:r>
      <w:proofErr w:type="spellStart"/>
      <w:r w:rsidRPr="005665FF">
        <w:rPr>
          <w:rFonts w:ascii="Arial" w:eastAsia="Times New Roman" w:hAnsi="Arial" w:cs="Arial"/>
          <w:color w:val="000000"/>
          <w:sz w:val="24"/>
          <w:szCs w:val="24"/>
        </w:rPr>
        <w:t>Halsema</w:t>
      </w:r>
      <w:proofErr w:type="spellEnd"/>
      <w:r w:rsidRPr="005665FF">
        <w:rPr>
          <w:rFonts w:ascii="Arial" w:eastAsia="Times New Roman" w:hAnsi="Arial" w:cs="Arial"/>
          <w:color w:val="000000"/>
          <w:sz w:val="24"/>
          <w:szCs w:val="24"/>
        </w:rPr>
        <w:t xml:space="preserve">, Wim </w:t>
      </w:r>
      <w:proofErr w:type="spellStart"/>
      <w:r w:rsidRPr="005665FF">
        <w:rPr>
          <w:rFonts w:ascii="Arial" w:eastAsia="Times New Roman" w:hAnsi="Arial" w:cs="Arial"/>
          <w:color w:val="000000"/>
          <w:sz w:val="24"/>
          <w:szCs w:val="24"/>
        </w:rPr>
        <w:t>Douven</w:t>
      </w:r>
      <w:proofErr w:type="spellEnd"/>
      <w:r w:rsidRPr="005665FF">
        <w:rPr>
          <w:rFonts w:ascii="Arial" w:eastAsia="Times New Roman" w:hAnsi="Arial" w:cs="Arial"/>
          <w:color w:val="000000"/>
          <w:sz w:val="24"/>
          <w:szCs w:val="24"/>
        </w:rPr>
        <w:t xml:space="preserve"> and Andrew Wyatt. Regional Environmental Change, 2019.</w:t>
      </w:r>
    </w:p>
    <w:p w14:paraId="636D0E4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9CAC76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A strategic delta plan can alter the course of delta management. Implementation of such a plan essentially involves a change of minds about delta management priorities and strategies for sustainable livelihoods. Such a change of minds, or “soft implementation”, must come before material, or “hard”, implementation can take off. To explore the influence of strategic delta plans in bringing about a change of minds among the actors involved, we examined four features of soft implementation: prospects for change, new mental models, consent and decision-making. We then applied these features to </w:t>
      </w:r>
      <w:proofErr w:type="spellStart"/>
      <w:r w:rsidRPr="005665FF">
        <w:rPr>
          <w:rFonts w:ascii="Arial" w:eastAsia="Times New Roman" w:hAnsi="Arial" w:cs="Arial"/>
          <w:color w:val="000000"/>
          <w:sz w:val="24"/>
          <w:szCs w:val="24"/>
        </w:rPr>
        <w:t>analyse</w:t>
      </w:r>
      <w:proofErr w:type="spellEnd"/>
      <w:r w:rsidRPr="005665FF">
        <w:rPr>
          <w:rFonts w:ascii="Arial" w:eastAsia="Times New Roman" w:hAnsi="Arial" w:cs="Arial"/>
          <w:color w:val="000000"/>
          <w:sz w:val="24"/>
          <w:szCs w:val="24"/>
        </w:rPr>
        <w:t xml:space="preserve"> implementation of the Mekong Delta Plan (MDP). The MDP envisions </w:t>
      </w:r>
      <w:proofErr w:type="spellStart"/>
      <w:r w:rsidRPr="005665FF">
        <w:rPr>
          <w:rFonts w:ascii="Arial" w:eastAsia="Times New Roman" w:hAnsi="Arial" w:cs="Arial"/>
          <w:color w:val="000000"/>
          <w:sz w:val="24"/>
          <w:szCs w:val="24"/>
        </w:rPr>
        <w:t>agro-industrialisation</w:t>
      </w:r>
      <w:proofErr w:type="spellEnd"/>
      <w:r w:rsidRPr="005665FF">
        <w:rPr>
          <w:rFonts w:ascii="Arial" w:eastAsia="Times New Roman" w:hAnsi="Arial" w:cs="Arial"/>
          <w:color w:val="000000"/>
          <w:sz w:val="24"/>
          <w:szCs w:val="24"/>
        </w:rPr>
        <w:t xml:space="preserve"> in the Mekong Delta, with dynamic land use, high-value commodities and enhanced interprovincial collaboration. We found that 3 years after its completion, the MDP has indeed been influential in introducing new ways of thinking about both delta problems and transformative strategies for agribusiness development. Minds have changed at all levels of the planning system, though change at the local level remains most limited. Implementation is fragile, however, as a small though influential group actively promotes and subscribes to the MDP’s precepts. The plan has influenced national policies, provincial project proposals and donor loans. We found the four features to provide a valuable entry point for assessing the influence and effectiveness of the strategic delta plan. They might prove useful to planners, investors and researchers too in designing and evaluating strategic planning processes for more sustainable land and water resources management.</w:t>
      </w:r>
    </w:p>
    <w:p w14:paraId="2351EC4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8E147EB"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60" w:name="m_8873885906141426999__Toc2349065"/>
      <w:r w:rsidRPr="005665FF">
        <w:rPr>
          <w:rFonts w:ascii="Calibri" w:eastAsia="Times New Roman" w:hAnsi="Calibri" w:cs="Calibri"/>
          <w:b/>
          <w:bCs/>
          <w:color w:val="800000"/>
        </w:rPr>
        <w:t>Environmental Pollution, Management, and Sustainable Development: Strategies for Vietnam and Other Developing Countries.</w:t>
      </w:r>
      <w:bookmarkEnd w:id="60"/>
    </w:p>
    <w:p w14:paraId="1590AEB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Tham</w:t>
      </w:r>
      <w:proofErr w:type="spellEnd"/>
      <w:r w:rsidRPr="005665FF">
        <w:rPr>
          <w:rFonts w:ascii="Arial" w:eastAsia="Times New Roman" w:hAnsi="Arial" w:cs="Arial"/>
          <w:color w:val="000000"/>
          <w:sz w:val="24"/>
          <w:szCs w:val="24"/>
        </w:rPr>
        <w:t xml:space="preserve"> C. Hoang, Marsha C. Black, Sandra L. </w:t>
      </w:r>
      <w:proofErr w:type="spellStart"/>
      <w:r w:rsidRPr="005665FF">
        <w:rPr>
          <w:rFonts w:ascii="Arial" w:eastAsia="Times New Roman" w:hAnsi="Arial" w:cs="Arial"/>
          <w:color w:val="000000"/>
          <w:sz w:val="24"/>
          <w:szCs w:val="24"/>
        </w:rPr>
        <w:t>Knuteson</w:t>
      </w:r>
      <w:proofErr w:type="spellEnd"/>
      <w:r w:rsidRPr="005665FF">
        <w:rPr>
          <w:rFonts w:ascii="Arial" w:eastAsia="Times New Roman" w:hAnsi="Arial" w:cs="Arial"/>
          <w:color w:val="000000"/>
          <w:sz w:val="24"/>
          <w:szCs w:val="24"/>
        </w:rPr>
        <w:t xml:space="preserve"> and Aaron P. Roberts. Environmental Management, 2019.</w:t>
      </w:r>
    </w:p>
    <w:p w14:paraId="6A8C03C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87A3DA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editorial introduces the issue of selected papers that were presented at the third International Conference on Environmental Pollution, Restoration, and Management in </w:t>
      </w:r>
      <w:proofErr w:type="spellStart"/>
      <w:r w:rsidRPr="005665FF">
        <w:rPr>
          <w:rFonts w:ascii="Arial" w:eastAsia="Times New Roman" w:hAnsi="Arial" w:cs="Arial"/>
          <w:color w:val="000000"/>
          <w:sz w:val="24"/>
          <w:szCs w:val="24"/>
        </w:rPr>
        <w:t>Quy</w:t>
      </w:r>
      <w:proofErr w:type="spellEnd"/>
      <w:r w:rsidRPr="005665FF">
        <w:rPr>
          <w:rFonts w:ascii="Arial" w:eastAsia="Times New Roman" w:hAnsi="Arial" w:cs="Arial"/>
          <w:color w:val="000000"/>
          <w:sz w:val="24"/>
          <w:szCs w:val="24"/>
        </w:rPr>
        <w:t xml:space="preserve"> Nhon, Vietnam on 6–10 March 2017. While environmental problems caused by diverse municipal, industrial, and other economic development activities continue to increase in many Asian countries, public awareness about environmental management for public health and the environment remain at levels that favor accepting environmental degradation and impacts for tradeoffs with economic values. This special issue resulted from a conference that was organized to bringing scientists from developed and developing countries to Vietnam to share experiences, discuss environmental problems, and enhance future collaborations for research and training in support of better management plans for the environment and health. Papers </w:t>
      </w:r>
      <w:r w:rsidRPr="005665FF">
        <w:rPr>
          <w:rFonts w:ascii="Arial" w:eastAsia="Times New Roman" w:hAnsi="Arial" w:cs="Arial"/>
          <w:color w:val="000000"/>
          <w:sz w:val="24"/>
          <w:szCs w:val="24"/>
        </w:rPr>
        <w:lastRenderedPageBreak/>
        <w:t>published in this issue present original results from diverse research on current environmental management challenges in Vietnam and other Asian countries. The research areas include environmental contamination in groundwater and diet that affect human health, waste composting, and effects of wastewater effluent, which is one of the greatest challenges in most Asian countries. In addition, impacts of hazardous chemical emissions and related environmental management efforts, and sustainable development approaches are included.</w:t>
      </w:r>
    </w:p>
    <w:p w14:paraId="249B8D9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E9327CD"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61" w:name="m_8873885906141426999__Toc2349066"/>
      <w:r w:rsidRPr="005665FF">
        <w:rPr>
          <w:rFonts w:ascii="Calibri" w:eastAsia="Times New Roman" w:hAnsi="Calibri" w:cs="Calibri"/>
          <w:b/>
          <w:bCs/>
          <w:color w:val="800000"/>
        </w:rPr>
        <w:t xml:space="preserve">Resource Assessment and Development Impact on Douc Population at Son </w:t>
      </w:r>
      <w:proofErr w:type="spellStart"/>
      <w:r w:rsidRPr="005665FF">
        <w:rPr>
          <w:rFonts w:ascii="Calibri" w:eastAsia="Times New Roman" w:hAnsi="Calibri" w:cs="Calibri"/>
          <w:b/>
          <w:bCs/>
          <w:color w:val="800000"/>
        </w:rPr>
        <w:t>Tra</w:t>
      </w:r>
      <w:proofErr w:type="spellEnd"/>
      <w:r w:rsidRPr="005665FF">
        <w:rPr>
          <w:rFonts w:ascii="Calibri" w:eastAsia="Times New Roman" w:hAnsi="Calibri" w:cs="Calibri"/>
          <w:b/>
          <w:bCs/>
          <w:color w:val="800000"/>
        </w:rPr>
        <w:t xml:space="preserve"> Nature Reserve, Vietnam.</w:t>
      </w:r>
      <w:bookmarkEnd w:id="61"/>
    </w:p>
    <w:p w14:paraId="6E6AD6C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Lois K. </w:t>
      </w:r>
      <w:proofErr w:type="spellStart"/>
      <w:r w:rsidRPr="005665FF">
        <w:rPr>
          <w:rFonts w:ascii="Arial" w:eastAsia="Times New Roman" w:hAnsi="Arial" w:cs="Arial"/>
          <w:color w:val="000000"/>
          <w:sz w:val="24"/>
          <w:szCs w:val="24"/>
        </w:rPr>
        <w:t>Lippold</w:t>
      </w:r>
      <w:proofErr w:type="spellEnd"/>
      <w:r w:rsidRPr="005665FF">
        <w:rPr>
          <w:rFonts w:ascii="Arial" w:eastAsia="Times New Roman" w:hAnsi="Arial" w:cs="Arial"/>
          <w:color w:val="000000"/>
          <w:sz w:val="24"/>
          <w:szCs w:val="24"/>
        </w:rPr>
        <w:t xml:space="preserve">, Vu Ngoc Thanh and Tran </w:t>
      </w:r>
      <w:proofErr w:type="spellStart"/>
      <w:r w:rsidRPr="005665FF">
        <w:rPr>
          <w:rFonts w:ascii="Arial" w:eastAsia="Times New Roman" w:hAnsi="Arial" w:cs="Arial"/>
          <w:color w:val="000000"/>
          <w:sz w:val="24"/>
          <w:szCs w:val="24"/>
        </w:rPr>
        <w:t>Dinh</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Nghia</w:t>
      </w:r>
      <w:proofErr w:type="spellEnd"/>
      <w:r w:rsidRPr="005665FF">
        <w:rPr>
          <w:rFonts w:ascii="Arial" w:eastAsia="Times New Roman" w:hAnsi="Arial" w:cs="Arial"/>
          <w:color w:val="000000"/>
          <w:sz w:val="24"/>
          <w:szCs w:val="24"/>
        </w:rPr>
        <w:t>. Primate Conservation, 2018, volume 32.</w:t>
      </w:r>
    </w:p>
    <w:p w14:paraId="13BECBD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33" w:tgtFrame="_blank" w:history="1">
        <w:r w:rsidRPr="005665FF">
          <w:rPr>
            <w:rFonts w:ascii="Arial" w:eastAsia="Times New Roman" w:hAnsi="Arial" w:cs="Arial"/>
            <w:color w:val="1155CC"/>
            <w:sz w:val="24"/>
            <w:szCs w:val="24"/>
            <w:u w:val="single"/>
          </w:rPr>
          <w:t>https://www.researchgate.net</w:t>
        </w:r>
      </w:hyperlink>
      <w:r w:rsidRPr="005665FF">
        <w:rPr>
          <w:rFonts w:ascii="Arial" w:eastAsia="Times New Roman" w:hAnsi="Arial" w:cs="Arial"/>
          <w:color w:val="000000"/>
          <w:sz w:val="24"/>
          <w:szCs w:val="24"/>
        </w:rPr>
        <w:t>.</w:t>
      </w:r>
    </w:p>
    <w:p w14:paraId="199EC37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ABD3CD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Recent intensified development pressure at Son </w:t>
      </w:r>
      <w:proofErr w:type="spellStart"/>
      <w:r w:rsidRPr="005665FF">
        <w:rPr>
          <w:rFonts w:ascii="Arial" w:eastAsia="Times New Roman" w:hAnsi="Arial" w:cs="Arial"/>
          <w:color w:val="000000"/>
          <w:sz w:val="24"/>
          <w:szCs w:val="24"/>
        </w:rPr>
        <w:t>Tra</w:t>
      </w:r>
      <w:proofErr w:type="spellEnd"/>
      <w:r w:rsidRPr="005665FF">
        <w:rPr>
          <w:rFonts w:ascii="Arial" w:eastAsia="Times New Roman" w:hAnsi="Arial" w:cs="Arial"/>
          <w:color w:val="000000"/>
          <w:sz w:val="24"/>
          <w:szCs w:val="24"/>
        </w:rPr>
        <w:t xml:space="preserve"> Nature Reserve threatens one of the last places in Vietnam where red-shanked doucs survive in large numbers. Since the war, these doucs have survived development, hunting, capture and loss of feeding areas due to local government decisions. In 2016, Danang People’s Committee proposed a plan to construct hotels and villas to house more than 300,000 by 2025. Their construction will destroy more than 70% of the habitat necessary for the survival of this unique douc population. This paper identifies food items and the habitats used by doucs throughout the reserve. Food resource seasonality and the impact of weather are also presented. Maps identify douc feeding areas and the current and potential construction sites. Together they illustrate the consequences for the douc population if this massive development project is allowed to proceed. With the loss of adequate habitat and food resources, red-shanked doucs will follow the rhino and the tiger to extinction in Vietnam.</w:t>
      </w:r>
    </w:p>
    <w:p w14:paraId="48D4D09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6276AEC"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2751FBE8" w14:textId="113DC0C5"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0F39B3B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3B07BC7"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62" w:name="m_8873885906141426999__Toc2349067"/>
      <w:r w:rsidRPr="005665FF">
        <w:rPr>
          <w:rFonts w:ascii="Calibri" w:eastAsia="Times New Roman" w:hAnsi="Calibri" w:cs="Calibri"/>
          <w:b/>
          <w:bCs/>
          <w:color w:val="800000"/>
        </w:rPr>
        <w:t>An evaluation and monetary assessment of the impact of flooding on subjective well-being across genders in Vietnam.</w:t>
      </w:r>
      <w:bookmarkEnd w:id="62"/>
    </w:p>
    <w:p w14:paraId="1489444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Paul Hudson, My Pham and Philip </w:t>
      </w:r>
      <w:proofErr w:type="spellStart"/>
      <w:r w:rsidRPr="005665FF">
        <w:rPr>
          <w:rFonts w:ascii="Arial" w:eastAsia="Times New Roman" w:hAnsi="Arial" w:cs="Arial"/>
          <w:color w:val="000000"/>
          <w:sz w:val="24"/>
          <w:szCs w:val="24"/>
        </w:rPr>
        <w:t>Bubeck</w:t>
      </w:r>
      <w:proofErr w:type="spellEnd"/>
      <w:r w:rsidRPr="005665FF">
        <w:rPr>
          <w:rFonts w:ascii="Arial" w:eastAsia="Times New Roman" w:hAnsi="Arial" w:cs="Arial"/>
          <w:color w:val="000000"/>
          <w:sz w:val="24"/>
          <w:szCs w:val="24"/>
        </w:rPr>
        <w:t>. Climate and Development, 2019, pp. 1-15.</w:t>
      </w:r>
    </w:p>
    <w:p w14:paraId="710D407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46F0BE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xml:space="preserve">Abstract: The intangible impacts of floods on welfare are not well investigated, even though they are important aspects of welfare. Moreover, flooding has </w:t>
      </w:r>
      <w:proofErr w:type="gramStart"/>
      <w:r w:rsidRPr="005665FF">
        <w:rPr>
          <w:rFonts w:ascii="Arial" w:eastAsia="Times New Roman" w:hAnsi="Arial" w:cs="Arial"/>
          <w:color w:val="000000"/>
          <w:sz w:val="24"/>
          <w:szCs w:val="24"/>
        </w:rPr>
        <w:t>gender based</w:t>
      </w:r>
      <w:proofErr w:type="gramEnd"/>
      <w:r w:rsidRPr="005665FF">
        <w:rPr>
          <w:rFonts w:ascii="Arial" w:eastAsia="Times New Roman" w:hAnsi="Arial" w:cs="Arial"/>
          <w:color w:val="000000"/>
          <w:sz w:val="24"/>
          <w:szCs w:val="24"/>
        </w:rPr>
        <w:t xml:space="preserve"> impacts on welfare. These differing impacts create a </w:t>
      </w:r>
      <w:proofErr w:type="gramStart"/>
      <w:r w:rsidRPr="005665FF">
        <w:rPr>
          <w:rFonts w:ascii="Arial" w:eastAsia="Times New Roman" w:hAnsi="Arial" w:cs="Arial"/>
          <w:color w:val="000000"/>
          <w:sz w:val="24"/>
          <w:szCs w:val="24"/>
        </w:rPr>
        <w:t>gender based</w:t>
      </w:r>
      <w:proofErr w:type="gramEnd"/>
      <w:r w:rsidRPr="005665FF">
        <w:rPr>
          <w:rFonts w:ascii="Arial" w:eastAsia="Times New Roman" w:hAnsi="Arial" w:cs="Arial"/>
          <w:color w:val="000000"/>
          <w:sz w:val="24"/>
          <w:szCs w:val="24"/>
        </w:rPr>
        <w:t xml:space="preserve"> flood risk resilience gap. We study the intangible impacts of flood risk on the subjective well-being of residents in central Vietnam. The measurement of intangible impacts through subjective well-being is a growing field within flood risk research. We find an initial drop in welfare through subjective well-being across genders when a flood is experienced. Male respondents tended to recover their welfare losses by around 80% within 5 years while female respondents were associated with a welfare recovery of around 70%. A monetization of the impacts floods have on an </w:t>
      </w:r>
      <w:proofErr w:type="spellStart"/>
      <w:proofErr w:type="gramStart"/>
      <w:r w:rsidRPr="005665FF">
        <w:rPr>
          <w:rFonts w:ascii="Arial" w:eastAsia="Times New Roman" w:hAnsi="Arial" w:cs="Arial"/>
          <w:color w:val="000000"/>
          <w:sz w:val="24"/>
          <w:szCs w:val="24"/>
        </w:rPr>
        <w:t>individual?s</w:t>
      </w:r>
      <w:proofErr w:type="spellEnd"/>
      <w:proofErr w:type="gramEnd"/>
      <w:r w:rsidRPr="005665FF">
        <w:rPr>
          <w:rFonts w:ascii="Arial" w:eastAsia="Times New Roman" w:hAnsi="Arial" w:cs="Arial"/>
          <w:color w:val="000000"/>
          <w:sz w:val="24"/>
          <w:szCs w:val="24"/>
        </w:rPr>
        <w:t xml:space="preserve"> subjective well-being shows that for the average female respondent, between 41% to 86% of annual income would be required to compensate subjective well-being losses after 5 years of experiencing a flood. The corresponding value for males is 30% to 57% of annual income. This shows that the intangible impacts of flood risk are important (across genders) and need to be integrated into flood (or climate) risk assessments to develop more socially appropriate risk management strategies.</w:t>
      </w:r>
    </w:p>
    <w:p w14:paraId="5329056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7C1CBE9"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63" w:name="m_8873885906141426999__Toc2349068"/>
      <w:r w:rsidRPr="005665FF">
        <w:rPr>
          <w:rFonts w:ascii="Calibri" w:eastAsia="Times New Roman" w:hAnsi="Calibri" w:cs="Calibri"/>
          <w:b/>
          <w:bCs/>
          <w:color w:val="800000"/>
        </w:rPr>
        <w:t>Lost in implementation? REDD+ country readiness experiences in Indonesia and Vietnam.</w:t>
      </w:r>
      <w:bookmarkEnd w:id="63"/>
    </w:p>
    <w:p w14:paraId="10B8950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Anders </w:t>
      </w:r>
      <w:proofErr w:type="spellStart"/>
      <w:r w:rsidRPr="005665FF">
        <w:rPr>
          <w:rFonts w:ascii="Arial" w:eastAsia="Times New Roman" w:hAnsi="Arial" w:cs="Arial"/>
          <w:color w:val="000000"/>
          <w:sz w:val="24"/>
          <w:szCs w:val="24"/>
        </w:rPr>
        <w:t>Milhøj</w:t>
      </w:r>
      <w:proofErr w:type="spellEnd"/>
      <w:r w:rsidRPr="005665FF">
        <w:rPr>
          <w:rFonts w:ascii="Arial" w:eastAsia="Times New Roman" w:hAnsi="Arial" w:cs="Arial"/>
          <w:color w:val="000000"/>
          <w:sz w:val="24"/>
          <w:szCs w:val="24"/>
        </w:rPr>
        <w:t xml:space="preserve">, Martin Reinhardt Nielsen, Henrik </w:t>
      </w:r>
      <w:proofErr w:type="spellStart"/>
      <w:r w:rsidRPr="005665FF">
        <w:rPr>
          <w:rFonts w:ascii="Arial" w:eastAsia="Times New Roman" w:hAnsi="Arial" w:cs="Arial"/>
          <w:color w:val="000000"/>
          <w:sz w:val="24"/>
          <w:szCs w:val="24"/>
        </w:rPr>
        <w:t>Meilby</w:t>
      </w:r>
      <w:proofErr w:type="spellEnd"/>
      <w:r w:rsidRPr="005665FF">
        <w:rPr>
          <w:rFonts w:ascii="Arial" w:eastAsia="Times New Roman" w:hAnsi="Arial" w:cs="Arial"/>
          <w:color w:val="000000"/>
          <w:sz w:val="24"/>
          <w:szCs w:val="24"/>
        </w:rPr>
        <w:t xml:space="preserve"> and </w:t>
      </w:r>
      <w:proofErr w:type="spellStart"/>
      <w:r w:rsidRPr="005665FF">
        <w:rPr>
          <w:rFonts w:ascii="Arial" w:eastAsia="Times New Roman" w:hAnsi="Arial" w:cs="Arial"/>
          <w:color w:val="000000"/>
          <w:sz w:val="24"/>
          <w:szCs w:val="24"/>
        </w:rPr>
        <w:t>Yanto</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Rochmayanto</w:t>
      </w:r>
      <w:proofErr w:type="spellEnd"/>
      <w:r w:rsidRPr="005665FF">
        <w:rPr>
          <w:rFonts w:ascii="Arial" w:eastAsia="Times New Roman" w:hAnsi="Arial" w:cs="Arial"/>
          <w:color w:val="000000"/>
          <w:sz w:val="24"/>
          <w:szCs w:val="24"/>
        </w:rPr>
        <w:t>. Climate and Development, 2019, pp. 1-13.</w:t>
      </w:r>
    </w:p>
    <w:p w14:paraId="14399F7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1A71FA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The REDD+ readiness phase leading up to implementation has been slow and has fallen short of expectations. In this article, we present REDD+ experiences from two countries, Indonesia and Vietnam, with a focus on the readiness phase, examining policy processes at the central, provincial and local levels. Interviews with key stakeholders (officials, donors, NGOs, village representatives) and data from household surveys suggest that efforts have been concentrated at the central level, with the provincial level mainly feeding data into the process and the local level practically left to its own devices. Furthermore, the REDD+ design may be misguided as it exempts the major stakeholders, namely the state and private enterprises, from declaring emissions sub-targets in the national carbon reduction action plans, and focuses exclusively on rural forest dwellers who struggle to understand the ideas that underpin REDD+.</w:t>
      </w:r>
    </w:p>
    <w:p w14:paraId="0375FC7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063674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hyperlink r:id="rId34" w:anchor="m_8873885906141426999__top" w:history="1">
        <w:r w:rsidRPr="005665FF">
          <w:rPr>
            <w:rFonts w:ascii="Arial" w:eastAsia="Times New Roman" w:hAnsi="Arial" w:cs="Arial"/>
            <w:color w:val="1155CC"/>
            <w:sz w:val="24"/>
            <w:szCs w:val="24"/>
            <w:u w:val="single"/>
          </w:rPr>
          <w:t>Back to top</w:t>
        </w:r>
      </w:hyperlink>
    </w:p>
    <w:p w14:paraId="607DF26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AC951AD"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64" w:name="m_8873885906141426999__Toc2349069"/>
      <w:r w:rsidRPr="005665FF">
        <w:rPr>
          <w:rFonts w:ascii="Calibri" w:eastAsia="Times New Roman" w:hAnsi="Calibri" w:cs="Calibri"/>
          <w:b/>
          <w:bCs/>
          <w:color w:val="800000"/>
        </w:rPr>
        <w:t>The sinking mega-</w:t>
      </w:r>
      <w:proofErr w:type="gramStart"/>
      <w:r w:rsidRPr="005665FF">
        <w:rPr>
          <w:rFonts w:ascii="Calibri" w:eastAsia="Times New Roman" w:hAnsi="Calibri" w:cs="Calibri"/>
          <w:b/>
          <w:bCs/>
          <w:color w:val="800000"/>
        </w:rPr>
        <w:t>delta :</w:t>
      </w:r>
      <w:proofErr w:type="gramEnd"/>
      <w:r w:rsidRPr="005665FF">
        <w:rPr>
          <w:rFonts w:ascii="Calibri" w:eastAsia="Times New Roman" w:hAnsi="Calibri" w:cs="Calibri"/>
          <w:b/>
          <w:bCs/>
          <w:color w:val="800000"/>
        </w:rPr>
        <w:t xml:space="preserve"> Present and future subsidence of the Vietnamese Mekong delta.</w:t>
      </w:r>
      <w:bookmarkEnd w:id="64"/>
    </w:p>
    <w:p w14:paraId="784F482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Philip Simon Johannes </w:t>
      </w:r>
      <w:proofErr w:type="spellStart"/>
      <w:r w:rsidRPr="005665FF">
        <w:rPr>
          <w:rFonts w:ascii="Arial" w:eastAsia="Times New Roman" w:hAnsi="Arial" w:cs="Arial"/>
          <w:color w:val="000000"/>
          <w:sz w:val="24"/>
          <w:szCs w:val="24"/>
        </w:rPr>
        <w:t>Minderhoud</w:t>
      </w:r>
      <w:proofErr w:type="spellEnd"/>
      <w:r w:rsidRPr="005665FF">
        <w:rPr>
          <w:rFonts w:ascii="Arial" w:eastAsia="Times New Roman" w:hAnsi="Arial" w:cs="Arial"/>
          <w:color w:val="000000"/>
          <w:sz w:val="24"/>
          <w:szCs w:val="24"/>
        </w:rPr>
        <w:t>, Utrecht Studies in Earth Sciences, Utrecht University, 2019.</w:t>
      </w:r>
    </w:p>
    <w:p w14:paraId="148F754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Free full text </w:t>
      </w:r>
      <w:hyperlink r:id="rId35" w:tgtFrame="_blank" w:history="1">
        <w:r w:rsidRPr="005665FF">
          <w:rPr>
            <w:rFonts w:ascii="Arial" w:eastAsia="Times New Roman" w:hAnsi="Arial" w:cs="Arial"/>
            <w:color w:val="1155CC"/>
            <w:sz w:val="24"/>
            <w:szCs w:val="24"/>
            <w:u w:val="single"/>
          </w:rPr>
          <w:t>http://dspace.library.uu.nl/handle/1874/375843</w:t>
        </w:r>
      </w:hyperlink>
      <w:r w:rsidRPr="005665FF">
        <w:rPr>
          <w:rFonts w:ascii="Arial" w:eastAsia="Times New Roman" w:hAnsi="Arial" w:cs="Arial"/>
          <w:color w:val="000000"/>
          <w:sz w:val="24"/>
          <w:szCs w:val="24"/>
        </w:rPr>
        <w:t>.</w:t>
      </w:r>
    </w:p>
    <w:p w14:paraId="5E93FE4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E8F254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The Vietnamese Mekong delta has </w:t>
      </w:r>
      <w:proofErr w:type="spellStart"/>
      <w:proofErr w:type="gramStart"/>
      <w:r w:rsidRPr="005665FF">
        <w:rPr>
          <w:rFonts w:ascii="Arial" w:eastAsia="Times New Roman" w:hAnsi="Arial" w:cs="Arial"/>
          <w:color w:val="000000"/>
          <w:sz w:val="24"/>
          <w:szCs w:val="24"/>
        </w:rPr>
        <w:t>world?s</w:t>
      </w:r>
      <w:proofErr w:type="spellEnd"/>
      <w:proofErr w:type="gramEnd"/>
      <w:r w:rsidRPr="005665FF">
        <w:rPr>
          <w:rFonts w:ascii="Arial" w:eastAsia="Times New Roman" w:hAnsi="Arial" w:cs="Arial"/>
          <w:color w:val="000000"/>
          <w:sz w:val="24"/>
          <w:szCs w:val="24"/>
        </w:rPr>
        <w:t xml:space="preserve"> third largest delta plain, inhabited by nearly 18 million people and responsible for 50% of </w:t>
      </w:r>
      <w:proofErr w:type="spellStart"/>
      <w:r w:rsidRPr="005665FF">
        <w:rPr>
          <w:rFonts w:ascii="Arial" w:eastAsia="Times New Roman" w:hAnsi="Arial" w:cs="Arial"/>
          <w:color w:val="000000"/>
          <w:sz w:val="24"/>
          <w:szCs w:val="24"/>
        </w:rPr>
        <w:t>Vietnam?s</w:t>
      </w:r>
      <w:proofErr w:type="spellEnd"/>
      <w:r w:rsidRPr="005665FF">
        <w:rPr>
          <w:rFonts w:ascii="Arial" w:eastAsia="Times New Roman" w:hAnsi="Arial" w:cs="Arial"/>
          <w:color w:val="000000"/>
          <w:sz w:val="24"/>
          <w:szCs w:val="24"/>
        </w:rPr>
        <w:t xml:space="preserve"> total food production. The delta is impacted by decreased fluvial sediment supply, salinization, coastal erosion and global sea-level rise. On top of that, annual subsidence rates up to several centimeters per year cause the Mekong delta to rapidly lose elevation. The main objective of the research of this thesis is to understand and quantify the main natural and human-induced drivers and processes causing subsidence, and its impact on current and future surface elevation of the Vietnamese Mekong delta. A newly created elevation model of the Mekong delta reveals that the delta is lower elevated above sea level than previously concluded based on spaceborne DEMs and shows that it is more prone to relative sea-level rise than previously anticipated. Using a novel numerical model capable of simulating sediment accretion and natural consolidation the formation and evolution of the Mekong delta over the past 4000 years was simulated. This showed that present-day rates of natural compaction of the shallow Holocene deposits can reach annual rates up to several centimeters and identified natural compaction as a major subsidence driver in the coastal zone of the Mekong delta. During past decades, the Mekong delta experienced large-scale anthropogenic land-use changes as a result of increased agricultural production, population growth and urbanization. Using remote sensing analyses, land-use specific subsidence rates, were quantified for the Mekong delta. This showed that the spatial patterns of the </w:t>
      </w:r>
      <w:proofErr w:type="spellStart"/>
      <w:r w:rsidRPr="005665FF">
        <w:rPr>
          <w:rFonts w:ascii="Arial" w:eastAsia="Times New Roman" w:hAnsi="Arial" w:cs="Arial"/>
          <w:color w:val="000000"/>
          <w:sz w:val="24"/>
          <w:szCs w:val="24"/>
        </w:rPr>
        <w:t>InSAR</w:t>
      </w:r>
      <w:proofErr w:type="spellEnd"/>
      <w:r w:rsidRPr="005665FF">
        <w:rPr>
          <w:rFonts w:ascii="Arial" w:eastAsia="Times New Roman" w:hAnsi="Arial" w:cs="Arial"/>
          <w:color w:val="000000"/>
          <w:sz w:val="24"/>
          <w:szCs w:val="24"/>
        </w:rPr>
        <w:t>-derived subsidence rates can largely be explained by land use-related drivers and revealed the role of human activities on subsidence in the Mekong delta. Since the nineties, groundwater exploitation has increased drastically. By creating a new delta-wide numerical model, a quantitative spatially-explicit assessment was made of groundwater extraction-induced subsidence for the entire Mekong delta since the start of widespread overexploitation until present. This revealed that extraction-induced subsidence in the Mekong delta has steadily increased over the past decades towards the highest sinking rates at present. Using six scenarios in which the delta follows different groundwater extraction pathways until 2100, future groundwater dynamics and consequent delta subsidence were modeled. The results revealed that when groundwater extraction is allowed to increase continuously, extraction-induced subsidence could potentially drown almost the entire Mekong delta. The present accelerating rates of subsidence in the Mekong delta, in combination with absolute sea-level rise cause the delta to rapidly lose elevation to local sea level. The delta is in a critical position due to its low elevation and it is almost inevitable that large parts of the Mekong delta will fall below sea level during this century. The best chance for the Mekong delta to sustain itself in the future is through mitigation measures to reduce groundwater use and stimulate groundwater recharge, re-enable sedimentation on the delta plain, and by implementing a smart combination of both hard and soft adaptive measures.</w:t>
      </w:r>
    </w:p>
    <w:p w14:paraId="0495670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29DB8AD"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65" w:name="m_8873885906141426999__Toc2349070"/>
      <w:r w:rsidRPr="005665FF">
        <w:rPr>
          <w:rFonts w:ascii="Calibri" w:eastAsia="Times New Roman" w:hAnsi="Calibri" w:cs="Calibri"/>
          <w:b/>
          <w:bCs/>
          <w:color w:val="800000"/>
        </w:rPr>
        <w:lastRenderedPageBreak/>
        <w:t>Changing Livelihood Options as Adaptation: A Comparative Analysis of Three Flood Control Schemes in the Vietnamese Mekong Delta.</w:t>
      </w:r>
      <w:bookmarkEnd w:id="65"/>
    </w:p>
    <w:p w14:paraId="27C2B5D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Thong Tran and Helen James. in: Population, Development, and the Environment: Challenges to Achieving the Sustainable Development Goals in the Asia Pacific, Springer Singapore, Singapore, 2019, pp. 137-154.</w:t>
      </w:r>
    </w:p>
    <w:p w14:paraId="73C6CFA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D18E54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Most riverine societies in the Lower Mekong Basin have made substantial efforts in many ways to adapt to the accelerating complexities driven by climate change, hydropower development, and local flood management policies. However, little effort has been devoted to the change in rural livelihoods to adapt to social-ecological constraints in the wake of these ‘wicked </w:t>
      </w:r>
      <w:proofErr w:type="gramStart"/>
      <w:r w:rsidRPr="005665FF">
        <w:rPr>
          <w:rFonts w:ascii="Arial" w:eastAsia="Times New Roman" w:hAnsi="Arial" w:cs="Arial"/>
          <w:color w:val="000000"/>
          <w:sz w:val="24"/>
          <w:szCs w:val="24"/>
        </w:rPr>
        <w:t>problems’</w:t>
      </w:r>
      <w:proofErr w:type="gramEnd"/>
      <w:r w:rsidRPr="005665FF">
        <w:rPr>
          <w:rFonts w:ascii="Arial" w:eastAsia="Times New Roman" w:hAnsi="Arial" w:cs="Arial"/>
          <w:color w:val="000000"/>
          <w:sz w:val="24"/>
          <w:szCs w:val="24"/>
        </w:rPr>
        <w:t>. This study attempts to investigate how farming households in the Vietnamese Mekong Delta have changed their livelihoods to accommodate the operation of flood control schemes. It employs the qualitative data gathered from focus group discussions and in-depth interviews with farming households and government officials across the administrative levels. The findings suggest dramatic fragmentation in flood governance at the local level. The comparative analysis of the pre-dyke versus post-dyke contexts suggests households’ flexibility in self-</w:t>
      </w:r>
      <w:proofErr w:type="spellStart"/>
      <w:r w:rsidRPr="005665FF">
        <w:rPr>
          <w:rFonts w:ascii="Arial" w:eastAsia="Times New Roman" w:hAnsi="Arial" w:cs="Arial"/>
          <w:color w:val="000000"/>
          <w:sz w:val="24"/>
          <w:szCs w:val="24"/>
        </w:rPr>
        <w:t>organising</w:t>
      </w:r>
      <w:proofErr w:type="spellEnd"/>
      <w:r w:rsidRPr="005665FF">
        <w:rPr>
          <w:rFonts w:ascii="Arial" w:eastAsia="Times New Roman" w:hAnsi="Arial" w:cs="Arial"/>
          <w:color w:val="000000"/>
          <w:sz w:val="24"/>
          <w:szCs w:val="24"/>
        </w:rPr>
        <w:t xml:space="preserve"> their livelihood activities. Alteration of cropping patterns, diversification of agricultural production, and migration were found as the primary livelihood strategies adopted by different household groups. The study reveals the polarity among household groups in their capacity to adapt to change. While the better-off and medium households are more likely to enjoy advantages from the schemes, their poor counterparts are plagued with constraints in accessing resources and capacity to switch to other alternative livelihoods. This study suggests important policy implications for the adjustment of flood management options to support better the adaptive livelihood practices in the delta.</w:t>
      </w:r>
    </w:p>
    <w:p w14:paraId="2F20A3D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993B822"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123A6126" w14:textId="430BCD30"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64ADB3D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6D81790"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66" w:name="m_8873885906141426999__Toc2349071"/>
      <w:r w:rsidRPr="005665FF">
        <w:rPr>
          <w:rFonts w:ascii="Calibri" w:eastAsia="Times New Roman" w:hAnsi="Calibri" w:cs="Calibri"/>
          <w:b/>
          <w:bCs/>
          <w:color w:val="800000"/>
        </w:rPr>
        <w:t>Evaluating drought events under influence of El-Nino phenomenon: A case study of Mekong delta area, Vietnam.</w:t>
      </w:r>
      <w:bookmarkEnd w:id="66"/>
    </w:p>
    <w:p w14:paraId="5B0CE9D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Lee Seung </w:t>
      </w:r>
      <w:proofErr w:type="spellStart"/>
      <w:r w:rsidRPr="005665FF">
        <w:rPr>
          <w:rFonts w:ascii="Arial" w:eastAsia="Times New Roman" w:hAnsi="Arial" w:cs="Arial"/>
          <w:color w:val="000000"/>
          <w:sz w:val="24"/>
          <w:szCs w:val="24"/>
        </w:rPr>
        <w:t>Kyu</w:t>
      </w:r>
      <w:proofErr w:type="spellEnd"/>
      <w:r w:rsidRPr="005665FF">
        <w:rPr>
          <w:rFonts w:ascii="Arial" w:eastAsia="Times New Roman" w:hAnsi="Arial" w:cs="Arial"/>
          <w:color w:val="000000"/>
          <w:sz w:val="24"/>
          <w:szCs w:val="24"/>
        </w:rPr>
        <w:t xml:space="preserve"> and Dang Truong An. Journal of Agrometeorology, 2018, volume 20, number 4.</w:t>
      </w:r>
    </w:p>
    <w:p w14:paraId="1972F68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A687FB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xml:space="preserve">Abstract: The </w:t>
      </w:r>
      <w:proofErr w:type="spellStart"/>
      <w:r w:rsidRPr="005665FF">
        <w:rPr>
          <w:rFonts w:ascii="Arial" w:eastAsia="Times New Roman" w:hAnsi="Arial" w:cs="Arial"/>
          <w:color w:val="000000"/>
          <w:sz w:val="24"/>
          <w:szCs w:val="24"/>
        </w:rPr>
        <w:t>spatio</w:t>
      </w:r>
      <w:proofErr w:type="spellEnd"/>
      <w:r w:rsidRPr="005665FF">
        <w:rPr>
          <w:rFonts w:ascii="Arial" w:eastAsia="Times New Roman" w:hAnsi="Arial" w:cs="Arial"/>
          <w:color w:val="000000"/>
          <w:sz w:val="24"/>
          <w:szCs w:val="24"/>
        </w:rPr>
        <w:t xml:space="preserve">-temporal variability of meteorological droughts in the Mekong delta area of Vietnam were </w:t>
      </w:r>
      <w:proofErr w:type="spellStart"/>
      <w:r w:rsidRPr="005665FF">
        <w:rPr>
          <w:rFonts w:ascii="Arial" w:eastAsia="Times New Roman" w:hAnsi="Arial" w:cs="Arial"/>
          <w:color w:val="000000"/>
          <w:sz w:val="24"/>
          <w:szCs w:val="24"/>
        </w:rPr>
        <w:t>analysed</w:t>
      </w:r>
      <w:proofErr w:type="spellEnd"/>
      <w:r w:rsidRPr="005665FF">
        <w:rPr>
          <w:rFonts w:ascii="Arial" w:eastAsia="Times New Roman" w:hAnsi="Arial" w:cs="Arial"/>
          <w:color w:val="000000"/>
          <w:sz w:val="24"/>
          <w:szCs w:val="24"/>
        </w:rPr>
        <w:t xml:space="preserve"> to detect drought events using the standardized precipitation index (SPI) at different time scales based on 32-year (1984-2015) monthly rainfall data. The degree and intensity of drought in the years of El Nino phenomenon during the study period were also </w:t>
      </w:r>
      <w:proofErr w:type="spellStart"/>
      <w:r w:rsidRPr="005665FF">
        <w:rPr>
          <w:rFonts w:ascii="Arial" w:eastAsia="Times New Roman" w:hAnsi="Arial" w:cs="Arial"/>
          <w:color w:val="000000"/>
          <w:sz w:val="24"/>
          <w:szCs w:val="24"/>
        </w:rPr>
        <w:t>analysed</w:t>
      </w:r>
      <w:proofErr w:type="spellEnd"/>
      <w:r w:rsidRPr="005665FF">
        <w:rPr>
          <w:rFonts w:ascii="Arial" w:eastAsia="Times New Roman" w:hAnsi="Arial" w:cs="Arial"/>
          <w:color w:val="000000"/>
          <w:sz w:val="24"/>
          <w:szCs w:val="24"/>
        </w:rPr>
        <w:t xml:space="preserve">. The results confirmed that the frequency of drought scales decreased while their spatial distribution tends to increase with main scales including moderate and severe </w:t>
      </w:r>
      <w:proofErr w:type="spellStart"/>
      <w:proofErr w:type="gramStart"/>
      <w:r w:rsidRPr="005665FF">
        <w:rPr>
          <w:rFonts w:ascii="Arial" w:eastAsia="Times New Roman" w:hAnsi="Arial" w:cs="Arial"/>
          <w:color w:val="000000"/>
          <w:sz w:val="24"/>
          <w:szCs w:val="24"/>
        </w:rPr>
        <w:t>droughts.During</w:t>
      </w:r>
      <w:proofErr w:type="spellEnd"/>
      <w:proofErr w:type="gramEnd"/>
      <w:r w:rsidRPr="005665FF">
        <w:rPr>
          <w:rFonts w:ascii="Arial" w:eastAsia="Times New Roman" w:hAnsi="Arial" w:cs="Arial"/>
          <w:color w:val="000000"/>
          <w:sz w:val="24"/>
          <w:szCs w:val="24"/>
        </w:rPr>
        <w:t xml:space="preserve"> the period of study, 1990-1992 drought stage was defined the most extreme drought with 11 out of 13 provinces of the study area experienced the extreme drought as the peak value of SPI12 was -2.63 and the duration of the drought lasted for 29 months.</w:t>
      </w:r>
    </w:p>
    <w:p w14:paraId="45F7A3A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84E559F"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67" w:name="m_8873885906141426999__Toc2349072"/>
      <w:r w:rsidRPr="005665FF">
        <w:rPr>
          <w:rFonts w:ascii="Calibri" w:eastAsia="Times New Roman" w:hAnsi="Calibri" w:cs="Calibri"/>
          <w:b/>
          <w:bCs/>
          <w:color w:val="800000"/>
        </w:rPr>
        <w:t>Living with Floods: Ecological Wisdom in the Vietnamese Mekong Delta.</w:t>
      </w:r>
      <w:bookmarkEnd w:id="67"/>
    </w:p>
    <w:p w14:paraId="00379CB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Kuei</w:t>
      </w:r>
      <w:proofErr w:type="spellEnd"/>
      <w:r w:rsidRPr="005665FF">
        <w:rPr>
          <w:rFonts w:ascii="Arial" w:eastAsia="Times New Roman" w:hAnsi="Arial" w:cs="Arial"/>
          <w:color w:val="000000"/>
          <w:sz w:val="24"/>
          <w:szCs w:val="24"/>
        </w:rPr>
        <w:t>-Hsien Liao. in: Ecological Wisdom: Theory and Practice, Springer Singapore, Singapore, 2019, pp. 195-215.</w:t>
      </w:r>
    </w:p>
    <w:p w14:paraId="7082E34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856F93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Despite the widespread implementation of flood control infrastructure, modern cities around the world remain vulnerable to flood hazards. Although flood management has in general placed less emphasis on structural measures, urban flood hazard mitigation continues to fixate on the flood control paradigm, the ideology that flooding must be prevented in the first place, as flooding is assumed to be disastrous. To promote urban flood resilience, this paper argues for the alternative flood adaptation paradigm, which concerns preventing damage when flooding occurs and allows flooding to enter the city. The argument is grounded on our fieldworks on the ecological wisdom of living with floods in the Vietnamese Mekong Delta in two hamlets, Vinh An and Ha Bao, where flooding is mostly harmless and brings benefits. To turn this ecological wisdom of the rural hamlets into practical knowledge, we extract lessons for modern cities: Modern cities need ecological knowledge to nurture ecological wisdom and need to become agile by developing localized flood-response capacity, striving for timely system-wide adjustment, and turning amphibious. To make these lessons of the ecological wisdom actionable, we translate them into three urban design principles: Urban design should (1) anticipate and accommodate flooding, (2) incorporate the ecological process of flooding, and (3) reveal the flood dynamics to the public.</w:t>
      </w:r>
    </w:p>
    <w:p w14:paraId="6BA4493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898A0D7"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68" w:name="m_8873885906141426999__Toc2349073"/>
      <w:r w:rsidRPr="005665FF">
        <w:rPr>
          <w:rFonts w:ascii="Calibri" w:eastAsia="Times New Roman" w:hAnsi="Calibri" w:cs="Calibri"/>
          <w:b/>
          <w:bCs/>
          <w:color w:val="800000"/>
        </w:rPr>
        <w:t xml:space="preserve">A study of coral reef resilience and implications of adaptive management and rehabilitation in </w:t>
      </w:r>
      <w:proofErr w:type="spellStart"/>
      <w:r w:rsidRPr="005665FF">
        <w:rPr>
          <w:rFonts w:ascii="Calibri" w:eastAsia="Times New Roman" w:hAnsi="Calibri" w:cs="Calibri"/>
          <w:b/>
          <w:bCs/>
          <w:color w:val="800000"/>
        </w:rPr>
        <w:t>Khanh</w:t>
      </w:r>
      <w:proofErr w:type="spellEnd"/>
      <w:r w:rsidRPr="005665FF">
        <w:rPr>
          <w:rFonts w:ascii="Calibri" w:eastAsia="Times New Roman" w:hAnsi="Calibri" w:cs="Calibri"/>
          <w:b/>
          <w:bCs/>
          <w:color w:val="800000"/>
        </w:rPr>
        <w:t xml:space="preserve"> </w:t>
      </w:r>
      <w:proofErr w:type="spellStart"/>
      <w:r w:rsidRPr="005665FF">
        <w:rPr>
          <w:rFonts w:ascii="Calibri" w:eastAsia="Times New Roman" w:hAnsi="Calibri" w:cs="Calibri"/>
          <w:b/>
          <w:bCs/>
          <w:color w:val="800000"/>
        </w:rPr>
        <w:t>Hoa</w:t>
      </w:r>
      <w:proofErr w:type="spellEnd"/>
      <w:r w:rsidRPr="005665FF">
        <w:rPr>
          <w:rFonts w:ascii="Calibri" w:eastAsia="Times New Roman" w:hAnsi="Calibri" w:cs="Calibri"/>
          <w:b/>
          <w:bCs/>
          <w:color w:val="800000"/>
        </w:rPr>
        <w:t xml:space="preserve"> Province, Vietnam.</w:t>
      </w:r>
      <w:bookmarkEnd w:id="68"/>
    </w:p>
    <w:p w14:paraId="325F08E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Si Tuan Vo, Thai Tuyen Hua and Kim Hoang Phan. Acta </w:t>
      </w:r>
      <w:proofErr w:type="spellStart"/>
      <w:r w:rsidRPr="005665FF">
        <w:rPr>
          <w:rFonts w:ascii="Arial" w:eastAsia="Times New Roman" w:hAnsi="Arial" w:cs="Arial"/>
          <w:color w:val="000000"/>
          <w:sz w:val="24"/>
          <w:szCs w:val="24"/>
        </w:rPr>
        <w:t>Oceanol</w:t>
      </w:r>
      <w:proofErr w:type="spellEnd"/>
      <w:r w:rsidRPr="005665FF">
        <w:rPr>
          <w:rFonts w:ascii="Arial" w:eastAsia="Times New Roman" w:hAnsi="Arial" w:cs="Arial"/>
          <w:color w:val="000000"/>
          <w:sz w:val="24"/>
          <w:szCs w:val="24"/>
        </w:rPr>
        <w:t>. Sin., 2019, volume 38, number 1.</w:t>
      </w:r>
    </w:p>
    <w:p w14:paraId="02E4A97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36" w:tgtFrame="_blank" w:history="1">
        <w:r w:rsidRPr="005665FF">
          <w:rPr>
            <w:rFonts w:ascii="Arial" w:eastAsia="Times New Roman" w:hAnsi="Arial" w:cs="Arial"/>
            <w:color w:val="1155CC"/>
            <w:sz w:val="24"/>
            <w:szCs w:val="24"/>
            <w:u w:val="single"/>
          </w:rPr>
          <w:t>http://www.hyxb.org.cn/aoscn/ch/reader/create_pdf.aspx</w:t>
        </w:r>
      </w:hyperlink>
      <w:r w:rsidRPr="005665FF">
        <w:rPr>
          <w:rFonts w:ascii="Arial" w:eastAsia="Times New Roman" w:hAnsi="Arial" w:cs="Arial"/>
          <w:color w:val="000000"/>
          <w:sz w:val="24"/>
          <w:szCs w:val="24"/>
        </w:rPr>
        <w:t>.</w:t>
      </w:r>
    </w:p>
    <w:p w14:paraId="1945C1C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2428963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The Province of </w:t>
      </w:r>
      <w:proofErr w:type="spellStart"/>
      <w:r w:rsidRPr="005665FF">
        <w:rPr>
          <w:rFonts w:ascii="Arial" w:eastAsia="Times New Roman" w:hAnsi="Arial" w:cs="Arial"/>
          <w:color w:val="000000"/>
          <w:sz w:val="24"/>
          <w:szCs w:val="24"/>
        </w:rPr>
        <w:t>Khanh</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Vietnam, is located in the western South China Sea and boasts a shoreline of 385 km and many islands. Previous studies have indicated the extreme diversity and abundance of coral reefs in its waters as compared with other coastal provinces of Vietnam. A study on the resilience of coral reefs against increased surface water temperature and anthropogenic impact is conducted at 19 reef sites in 2015. At each site, a series of parameters (e.g., coral covers, genus diversity, and coral recruitment, substratum heterogeneity, depth, water exchange level, and sediment deposit and water temperature) are measured quantitatively or semi-quantitatively. The measured data are rated based on the relationship between the parameter values and coral susceptibility; the consideration that reef health reflects the biological capability to adapt to environmental changes and the recruitment potential if bleached; and positive or negative influences of physical factors in the mitigation of thermal stress and protecting corals from bleaching. A cumulative analysis enables researchers to divide the studied reefs into four categories based on varying levels of reef health to support resilience, recovery, and vulnerability in the case of increased water temperature. Relevant management interventions for each category and other supporting activities are suggested to enhance management effectiveness and to plan the rehabilitation of coral reefs for biodiversity conservation and touristic development, taking into account the involvement of related stakeholders.</w:t>
      </w:r>
    </w:p>
    <w:p w14:paraId="4417841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B0FBE77"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5532299C" w14:textId="460A94A0"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007330A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E1EF8A5"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69" w:name="m_8873885906141426999__Toc2349074"/>
      <w:r w:rsidRPr="005665FF">
        <w:rPr>
          <w:rFonts w:ascii="Calibri" w:eastAsia="Times New Roman" w:hAnsi="Calibri" w:cs="Calibri"/>
          <w:b/>
          <w:bCs/>
          <w:color w:val="800000"/>
        </w:rPr>
        <w:t>Arsenic in drinking water – Recent examples and updates from Southeast Asia.</w:t>
      </w:r>
      <w:bookmarkEnd w:id="69"/>
    </w:p>
    <w:p w14:paraId="6535BAB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Jagdeesh</w:t>
      </w:r>
      <w:proofErr w:type="spellEnd"/>
      <w:r w:rsidRPr="005665FF">
        <w:rPr>
          <w:rFonts w:ascii="Arial" w:eastAsia="Times New Roman" w:hAnsi="Arial" w:cs="Arial"/>
          <w:color w:val="000000"/>
          <w:sz w:val="24"/>
          <w:szCs w:val="24"/>
        </w:rPr>
        <w:t xml:space="preserve"> S. Uppal, Qi Zheng and X. Chris Le. Current Opinion in Environmental Science &amp; Health, 2019.</w:t>
      </w:r>
    </w:p>
    <w:p w14:paraId="5947FB0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977315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Arsenic affects hundreds of millions of people around the world, with majority of the arsenic-affected populations living in Southeast Asia. Recent reports estimated that population exposed to water arsenic at concentrations higher than the World Health Organization guideline level of 10 </w:t>
      </w:r>
      <w:proofErr w:type="spellStart"/>
      <w:r w:rsidRPr="005665FF">
        <w:rPr>
          <w:rFonts w:ascii="Arial" w:eastAsia="Times New Roman" w:hAnsi="Arial" w:cs="Arial"/>
          <w:color w:val="000000"/>
          <w:sz w:val="24"/>
          <w:szCs w:val="24"/>
        </w:rPr>
        <w:t>μg</w:t>
      </w:r>
      <w:proofErr w:type="spellEnd"/>
      <w:r w:rsidRPr="005665FF">
        <w:rPr>
          <w:rFonts w:ascii="Arial" w:eastAsia="Times New Roman" w:hAnsi="Arial" w:cs="Arial"/>
          <w:color w:val="000000"/>
          <w:sz w:val="24"/>
          <w:szCs w:val="24"/>
        </w:rPr>
        <w:t xml:space="preserve">/L or higher than 50 </w:t>
      </w:r>
      <w:proofErr w:type="spellStart"/>
      <w:r w:rsidRPr="005665FF">
        <w:rPr>
          <w:rFonts w:ascii="Arial" w:eastAsia="Times New Roman" w:hAnsi="Arial" w:cs="Arial"/>
          <w:color w:val="000000"/>
          <w:sz w:val="24"/>
          <w:szCs w:val="24"/>
        </w:rPr>
        <w:t>μg</w:t>
      </w:r>
      <w:proofErr w:type="spellEnd"/>
      <w:r w:rsidRPr="005665FF">
        <w:rPr>
          <w:rFonts w:ascii="Arial" w:eastAsia="Times New Roman" w:hAnsi="Arial" w:cs="Arial"/>
          <w:color w:val="000000"/>
          <w:sz w:val="24"/>
          <w:szCs w:val="24"/>
        </w:rPr>
        <w:t xml:space="preserve">/L included 70-80 million people living in India, 28-60 million in Bangladesh, 47-60 million in Pakistan, 10 million in Vietnam, 2-5 million in China, over 3 million in Nepal, 3.4 million in Myanmar, and 0.32-2.4 million in Cambodia. The sum of the arsenic-affected populations from these areas ranged from 150 million to 240 million. Chronic exposure to high concentrations of arsenic from drinking water is associated with increased risk of various adverse health effects, such as cancers, cardiovascular disease, diabetes, and neurological effects. </w:t>
      </w:r>
      <w:r w:rsidRPr="005665FF">
        <w:rPr>
          <w:rFonts w:ascii="Arial" w:eastAsia="Times New Roman" w:hAnsi="Arial" w:cs="Arial"/>
          <w:color w:val="000000"/>
          <w:sz w:val="24"/>
          <w:szCs w:val="24"/>
        </w:rPr>
        <w:lastRenderedPageBreak/>
        <w:t>Continued research and mitigation actions are required to protect public health from arsenic-induced diseases.</w:t>
      </w:r>
    </w:p>
    <w:p w14:paraId="2CAD782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5E65E6F"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70" w:name="m_8873885906141426999__Toc2349075"/>
      <w:r w:rsidRPr="005665FF">
        <w:rPr>
          <w:rFonts w:ascii="Calibri" w:eastAsia="Times New Roman" w:hAnsi="Calibri" w:cs="Calibri"/>
          <w:b/>
          <w:bCs/>
          <w:color w:val="800000"/>
        </w:rPr>
        <w:t>Biogeochemical phosphorus cycling in groundwater ecosystems – Insights from South and Southeast Asian floodplain and delta aquifers.</w:t>
      </w:r>
      <w:bookmarkEnd w:id="70"/>
    </w:p>
    <w:p w14:paraId="41C1970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Harald </w:t>
      </w:r>
      <w:proofErr w:type="spellStart"/>
      <w:r w:rsidRPr="005665FF">
        <w:rPr>
          <w:rFonts w:ascii="Arial" w:eastAsia="Times New Roman" w:hAnsi="Arial" w:cs="Arial"/>
          <w:color w:val="000000"/>
          <w:sz w:val="24"/>
          <w:szCs w:val="24"/>
        </w:rPr>
        <w:t>Neidhardt</w:t>
      </w:r>
      <w:proofErr w:type="spellEnd"/>
      <w:r w:rsidRPr="005665FF">
        <w:rPr>
          <w:rFonts w:ascii="Arial" w:eastAsia="Times New Roman" w:hAnsi="Arial" w:cs="Arial"/>
          <w:color w:val="000000"/>
          <w:sz w:val="24"/>
          <w:szCs w:val="24"/>
        </w:rPr>
        <w:t xml:space="preserve">, Daniel </w:t>
      </w:r>
      <w:proofErr w:type="spellStart"/>
      <w:r w:rsidRPr="005665FF">
        <w:rPr>
          <w:rFonts w:ascii="Arial" w:eastAsia="Times New Roman" w:hAnsi="Arial" w:cs="Arial"/>
          <w:color w:val="000000"/>
          <w:sz w:val="24"/>
          <w:szCs w:val="24"/>
        </w:rPr>
        <w:t>Schoeckle</w:t>
      </w:r>
      <w:proofErr w:type="spellEnd"/>
      <w:r w:rsidRPr="005665FF">
        <w:rPr>
          <w:rFonts w:ascii="Arial" w:eastAsia="Times New Roman" w:hAnsi="Arial" w:cs="Arial"/>
          <w:color w:val="000000"/>
          <w:sz w:val="24"/>
          <w:szCs w:val="24"/>
        </w:rPr>
        <w:t xml:space="preserve">, Anna </w:t>
      </w:r>
      <w:proofErr w:type="spellStart"/>
      <w:r w:rsidRPr="005665FF">
        <w:rPr>
          <w:rFonts w:ascii="Arial" w:eastAsia="Times New Roman" w:hAnsi="Arial" w:cs="Arial"/>
          <w:color w:val="000000"/>
          <w:sz w:val="24"/>
          <w:szCs w:val="24"/>
        </w:rPr>
        <w:t>Schleinitz</w:t>
      </w:r>
      <w:proofErr w:type="spellEnd"/>
      <w:r w:rsidRPr="005665FF">
        <w:rPr>
          <w:rFonts w:ascii="Arial" w:eastAsia="Times New Roman" w:hAnsi="Arial" w:cs="Arial"/>
          <w:color w:val="000000"/>
          <w:sz w:val="24"/>
          <w:szCs w:val="24"/>
        </w:rPr>
        <w:t xml:space="preserve">, Elisabeth </w:t>
      </w:r>
      <w:proofErr w:type="spellStart"/>
      <w:r w:rsidRPr="005665FF">
        <w:rPr>
          <w:rFonts w:ascii="Arial" w:eastAsia="Times New Roman" w:hAnsi="Arial" w:cs="Arial"/>
          <w:color w:val="000000"/>
          <w:sz w:val="24"/>
          <w:szCs w:val="24"/>
        </w:rPr>
        <w:t>Eiche</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Zsolt</w:t>
      </w:r>
      <w:proofErr w:type="spellEnd"/>
      <w:r w:rsidRPr="005665FF">
        <w:rPr>
          <w:rFonts w:ascii="Arial" w:eastAsia="Times New Roman" w:hAnsi="Arial" w:cs="Arial"/>
          <w:color w:val="000000"/>
          <w:sz w:val="24"/>
          <w:szCs w:val="24"/>
        </w:rPr>
        <w:t xml:space="preserve"> Berner and others. Science of The Total Environment, 2018, volume 644, pp. 1357-1370.</w:t>
      </w:r>
    </w:p>
    <w:p w14:paraId="3ACAAA3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BF0402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The biogeochemical cycling of phosphorus (P) in South and Southeast Asian floodplain and delta aquifers has received insufficient attention in research studies, even though dissolved orthophosphate (PO43−) in this region is closely linked with the widespread contamination of groundwater with toxic arsenic (As). The overarching aim of this study was to characterize the enrichment of P in anoxic groundwater and to provide insight into the biogeochemical mechanisms underlying its mobilization, subsurface transport, and microbial cycling. Detailed groundwater analyses and in situ experiments were conducted that focused on three representative field sites located in the Red River Delta (RRD) of Vietnam and the Bengal Delta Plain (BDP) in West Bengal, India. The results showed that the total concentrations of dissolved P (TDP) ranged from 0.03 to 1.50 mg L−1 in groundwater, with PO43− being the dominant P species. The highest concentrations occurred in anoxic sandy Holocene aquifers where PO43− was released into groundwater through the microbial degradation of organic carbon and the concomitant reductive dissolution of </w:t>
      </w:r>
      <w:proofErr w:type="gramStart"/>
      <w:r w:rsidRPr="005665FF">
        <w:rPr>
          <w:rFonts w:ascii="Arial" w:eastAsia="Times New Roman" w:hAnsi="Arial" w:cs="Arial"/>
          <w:color w:val="000000"/>
          <w:sz w:val="24"/>
          <w:szCs w:val="24"/>
        </w:rPr>
        <w:t>Fe(</w:t>
      </w:r>
      <w:proofErr w:type="gramEnd"/>
      <w:r w:rsidRPr="005665FF">
        <w:rPr>
          <w:rFonts w:ascii="Arial" w:eastAsia="Times New Roman" w:hAnsi="Arial" w:cs="Arial"/>
          <w:color w:val="000000"/>
          <w:sz w:val="24"/>
          <w:szCs w:val="24"/>
        </w:rPr>
        <w:t>III)-(</w:t>
      </w:r>
      <w:proofErr w:type="spellStart"/>
      <w:r w:rsidRPr="005665FF">
        <w:rPr>
          <w:rFonts w:ascii="Arial" w:eastAsia="Times New Roman" w:hAnsi="Arial" w:cs="Arial"/>
          <w:color w:val="000000"/>
          <w:sz w:val="24"/>
          <w:szCs w:val="24"/>
        </w:rPr>
        <w:t>hydr</w:t>
      </w:r>
      <w:proofErr w:type="spellEnd"/>
      <w:r w:rsidRPr="005665FF">
        <w:rPr>
          <w:rFonts w:ascii="Arial" w:eastAsia="Times New Roman" w:hAnsi="Arial" w:cs="Arial"/>
          <w:color w:val="000000"/>
          <w:sz w:val="24"/>
          <w:szCs w:val="24"/>
        </w:rPr>
        <w:t xml:space="preserve">)oxides. The mobilization of PO43− may still constitute an active process within shallow Holocene sediments. Furthermore, a sudden supply of organic carbon may rapidly decrease the redox potential, which causes an increase in TDP concentrations in groundwater, as demonstrated by a field experiment. Considering the subsurface transport of PO43−, Pleistocene aquifer sediments represented effective sinks; however, the enduring contact between </w:t>
      </w:r>
      <w:proofErr w:type="spellStart"/>
      <w:r w:rsidRPr="005665FF">
        <w:rPr>
          <w:rFonts w:ascii="Arial" w:eastAsia="Times New Roman" w:hAnsi="Arial" w:cs="Arial"/>
          <w:color w:val="000000"/>
          <w:sz w:val="24"/>
          <w:szCs w:val="24"/>
        </w:rPr>
        <w:t>oxic</w:t>
      </w:r>
      <w:proofErr w:type="spellEnd"/>
      <w:r w:rsidRPr="005665FF">
        <w:rPr>
          <w:rFonts w:ascii="Arial" w:eastAsia="Times New Roman" w:hAnsi="Arial" w:cs="Arial"/>
          <w:color w:val="000000"/>
          <w:sz w:val="24"/>
          <w:szCs w:val="24"/>
        </w:rPr>
        <w:t xml:space="preserve"> Pleistocene sediments and anoxic groundwater also changed the sediments PO43−-sorption capacity over time. A stable isotope analysis of PO43−-bound oxygen indicated the influences of intracellular microbial cycling as well as a specific PO43− source with a distinct isotopically heavy signal. Consequently, porous aquifers in Asian floodplain and delta regions proved to be ideal natural laboratories to study the biogeochemical cycling of P and its behavior in groundwater environments.</w:t>
      </w:r>
    </w:p>
    <w:p w14:paraId="1AD9883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320199E"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264B3F02" w14:textId="4183A42E"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2FBCFCD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03C2756"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71" w:name="m_8873885906141426999__Toc2349076"/>
      <w:r w:rsidRPr="005665FF">
        <w:rPr>
          <w:rFonts w:ascii="Calibri" w:eastAsia="Times New Roman" w:hAnsi="Calibri" w:cs="Calibri"/>
          <w:b/>
          <w:bCs/>
          <w:color w:val="800000"/>
        </w:rPr>
        <w:lastRenderedPageBreak/>
        <w:t>Contamination status and potential release of trace metals in a mangrove forest sediment in Ho Chi Minh City, Vietnam.</w:t>
      </w:r>
      <w:bookmarkEnd w:id="71"/>
    </w:p>
    <w:p w14:paraId="1EBDCB5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Tran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Thu Dung, Tong My Linh, Tran </w:t>
      </w:r>
      <w:proofErr w:type="spellStart"/>
      <w:r w:rsidRPr="005665FF">
        <w:rPr>
          <w:rFonts w:ascii="Arial" w:eastAsia="Times New Roman" w:hAnsi="Arial" w:cs="Arial"/>
          <w:color w:val="000000"/>
          <w:sz w:val="24"/>
          <w:szCs w:val="24"/>
        </w:rPr>
        <w:t>Bích</w:t>
      </w:r>
      <w:proofErr w:type="spellEnd"/>
      <w:r w:rsidRPr="005665FF">
        <w:rPr>
          <w:rFonts w:ascii="Arial" w:eastAsia="Times New Roman" w:hAnsi="Arial" w:cs="Arial"/>
          <w:color w:val="000000"/>
          <w:sz w:val="24"/>
          <w:szCs w:val="24"/>
        </w:rPr>
        <w:t xml:space="preserve"> Chau, Truong Minh Hoang, Rudy </w:t>
      </w:r>
      <w:proofErr w:type="spellStart"/>
      <w:r w:rsidRPr="005665FF">
        <w:rPr>
          <w:rFonts w:ascii="Arial" w:eastAsia="Times New Roman" w:hAnsi="Arial" w:cs="Arial"/>
          <w:color w:val="000000"/>
          <w:sz w:val="24"/>
          <w:szCs w:val="24"/>
        </w:rPr>
        <w:t>Swennen</w:t>
      </w:r>
      <w:proofErr w:type="spellEnd"/>
      <w:r w:rsidRPr="005665FF">
        <w:rPr>
          <w:rFonts w:ascii="Arial" w:eastAsia="Times New Roman" w:hAnsi="Arial" w:cs="Arial"/>
          <w:color w:val="000000"/>
          <w:sz w:val="24"/>
          <w:szCs w:val="24"/>
        </w:rPr>
        <w:t xml:space="preserve"> and others. Environmental Science and Pollution Research, 2019.</w:t>
      </w:r>
    </w:p>
    <w:p w14:paraId="722D70F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4537EB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Can </w:t>
      </w:r>
      <w:proofErr w:type="spellStart"/>
      <w:r w:rsidRPr="005665FF">
        <w:rPr>
          <w:rFonts w:ascii="Arial" w:eastAsia="Times New Roman" w:hAnsi="Arial" w:cs="Arial"/>
          <w:color w:val="000000"/>
          <w:sz w:val="24"/>
          <w:szCs w:val="24"/>
        </w:rPr>
        <w:t>Gio</w:t>
      </w:r>
      <w:proofErr w:type="spellEnd"/>
      <w:r w:rsidRPr="005665FF">
        <w:rPr>
          <w:rFonts w:ascii="Arial" w:eastAsia="Times New Roman" w:hAnsi="Arial" w:cs="Arial"/>
          <w:color w:val="000000"/>
          <w:sz w:val="24"/>
          <w:szCs w:val="24"/>
        </w:rPr>
        <w:t xml:space="preserve"> district is located in the coastal area of Ho Chi Minh City, southern Vietnam. Discharge of wastewater from Ho Chi Minh City and neighboring provinces to the rivers of Can </w:t>
      </w:r>
      <w:proofErr w:type="spellStart"/>
      <w:r w:rsidRPr="005665FF">
        <w:rPr>
          <w:rFonts w:ascii="Arial" w:eastAsia="Times New Roman" w:hAnsi="Arial" w:cs="Arial"/>
          <w:color w:val="000000"/>
          <w:sz w:val="24"/>
          <w:szCs w:val="24"/>
        </w:rPr>
        <w:t>Gio</w:t>
      </w:r>
      <w:proofErr w:type="spellEnd"/>
      <w:r w:rsidRPr="005665FF">
        <w:rPr>
          <w:rFonts w:ascii="Arial" w:eastAsia="Times New Roman" w:hAnsi="Arial" w:cs="Arial"/>
          <w:color w:val="000000"/>
          <w:sz w:val="24"/>
          <w:szCs w:val="24"/>
        </w:rPr>
        <w:t xml:space="preserve"> has led to concerns about the accumulation of trace metals (As, Cu, Cr, Ni, Pb, and Zn) in the coastal sediments. The main objective of this study was to assess the distribution of As, Cu, Cr, Ni, Pb, and Zn in surface and core sediments and to evaluate the contamination status in relation to local background values, as well as the potential release of these selected trace metals from sediments to the water environment. Sediment </w:t>
      </w:r>
      <w:proofErr w:type="spellStart"/>
      <w:r w:rsidRPr="005665FF">
        <w:rPr>
          <w:rFonts w:ascii="Arial" w:eastAsia="Times New Roman" w:hAnsi="Arial" w:cs="Arial"/>
          <w:color w:val="000000"/>
          <w:sz w:val="24"/>
          <w:szCs w:val="24"/>
        </w:rPr>
        <w:t>characteristization</w:t>
      </w:r>
      <w:proofErr w:type="spellEnd"/>
      <w:r w:rsidRPr="005665FF">
        <w:rPr>
          <w:rFonts w:ascii="Arial" w:eastAsia="Times New Roman" w:hAnsi="Arial" w:cs="Arial"/>
          <w:color w:val="000000"/>
          <w:sz w:val="24"/>
          <w:szCs w:val="24"/>
        </w:rPr>
        <w:t>, including determination of fine fraction, pH, organic matter, and major elements (Al, Fe, Ca, K, Mg, and S), was carried out to investigate which parameters affect the trace metal enrichment. Fine fraction and Al contents were found to be the controlling proxies affecting the distribution of trace metals while other sediment characteristics did not show any clear influence on trace metals’ distribution. Although As concentrations in the sediments were much higher compared to its reference value in other areas, the enrichment factor based on local background values suggests minor contamination of this element as well as for Cr, Cu, and Pb. Risk assessment suggested a medium to very high risk of Mn, Zn, and Ni under acidification. Of importance is also that trace metals in sediments were not easily mobilized by organic complexation based on their low extractabilities by ammonium-EDTA extraction.</w:t>
      </w:r>
    </w:p>
    <w:p w14:paraId="2231C56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A6E7806"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72" w:name="m_8873885906141426999__Toc2349077"/>
      <w:r w:rsidRPr="005665FF">
        <w:rPr>
          <w:rFonts w:ascii="Calibri" w:eastAsia="Times New Roman" w:hAnsi="Calibri" w:cs="Calibri"/>
          <w:b/>
          <w:bCs/>
          <w:color w:val="800000"/>
        </w:rPr>
        <w:t>Output, environmental pollution and health nexus in Vietnam: an estimation of simultaneous model with panel data.</w:t>
      </w:r>
      <w:bookmarkEnd w:id="72"/>
    </w:p>
    <w:p w14:paraId="2AFF713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Ha Hai Duong and </w:t>
      </w:r>
      <w:proofErr w:type="spellStart"/>
      <w:r w:rsidRPr="005665FF">
        <w:rPr>
          <w:rFonts w:ascii="Arial" w:eastAsia="Times New Roman" w:hAnsi="Arial" w:cs="Arial"/>
          <w:color w:val="000000"/>
          <w:sz w:val="24"/>
          <w:szCs w:val="24"/>
        </w:rPr>
        <w:t>Kankesu</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Jayanthakumaran</w:t>
      </w:r>
      <w:proofErr w:type="spellEnd"/>
      <w:r w:rsidRPr="005665FF">
        <w:rPr>
          <w:rFonts w:ascii="Arial" w:eastAsia="Times New Roman" w:hAnsi="Arial" w:cs="Arial"/>
          <w:color w:val="000000"/>
          <w:sz w:val="24"/>
          <w:szCs w:val="24"/>
        </w:rPr>
        <w:t>. International Journal of Bonds and Derivatives, 2018, volume 4, number 1, pp. 10-32.</w:t>
      </w:r>
    </w:p>
    <w:p w14:paraId="24A65E0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D72551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paper estimates the provincial data of carbon dioxide emissions in 60 provinces in Vietnam for the years 2000 to 2010, and investigates the simultaneous relationships between output, environmental pollution and health in Vietnam. By applying the two-step system-dynamic GMM, lagged effects, endogeneity, heteroscedasticity, and autocorrelation for the variables have been addressed. The results show that increase in output causes an increase in the emissions. Meanwhile, an increase in emissions causes bad population health in the Mekong River Delta region, one of the highest tuberculosis incidence regions in Vietnam. The results also demonstrate that population health is an important input into economic growth in </w:t>
      </w:r>
      <w:r w:rsidRPr="005665FF">
        <w:rPr>
          <w:rFonts w:ascii="Arial" w:eastAsia="Times New Roman" w:hAnsi="Arial" w:cs="Arial"/>
          <w:color w:val="000000"/>
          <w:sz w:val="24"/>
          <w:szCs w:val="24"/>
        </w:rPr>
        <w:lastRenderedPageBreak/>
        <w:t>Vietnam. Better population health leads to increased output. Findings have policy implications for health, pollution and investment related issues for Vietnam.</w:t>
      </w:r>
    </w:p>
    <w:p w14:paraId="46361FD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D5F747C" w14:textId="321E1669"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256FD9C4" w14:textId="4204839A"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4F01EE3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81BE4A2" w14:textId="474E88AB" w:rsidR="005665FF" w:rsidRPr="005665FF" w:rsidRDefault="00B31078" w:rsidP="005665FF">
      <w:pPr>
        <w:spacing w:after="0" w:line="240" w:lineRule="auto"/>
        <w:outlineLvl w:val="1"/>
        <w:rPr>
          <w:rFonts w:ascii="Arial" w:eastAsia="Times New Roman" w:hAnsi="Arial" w:cs="Arial"/>
          <w:b/>
          <w:bCs/>
          <w:color w:val="000000"/>
          <w:sz w:val="36"/>
          <w:szCs w:val="36"/>
        </w:rPr>
      </w:pPr>
      <w:bookmarkStart w:id="73" w:name="m_8873885906141426999__Toc2349078"/>
      <w:r>
        <w:rPr>
          <w:rFonts w:ascii="Calibri" w:eastAsia="Times New Roman" w:hAnsi="Calibri" w:cs="Calibri"/>
          <w:b/>
          <w:bCs/>
          <w:color w:val="800000"/>
        </w:rPr>
        <w:t>R</w:t>
      </w:r>
      <w:r w:rsidR="005665FF" w:rsidRPr="005665FF">
        <w:rPr>
          <w:rFonts w:ascii="Calibri" w:eastAsia="Times New Roman" w:hAnsi="Calibri" w:cs="Calibri"/>
          <w:b/>
          <w:bCs/>
          <w:color w:val="800000"/>
        </w:rPr>
        <w:t xml:space="preserve">educing emissions of the </w:t>
      </w:r>
      <w:proofErr w:type="gramStart"/>
      <w:r w:rsidR="005665FF" w:rsidRPr="005665FF">
        <w:rPr>
          <w:rFonts w:ascii="Calibri" w:eastAsia="Times New Roman" w:hAnsi="Calibri" w:cs="Calibri"/>
          <w:b/>
          <w:bCs/>
          <w:color w:val="800000"/>
        </w:rPr>
        <w:t>fast growing</w:t>
      </w:r>
      <w:proofErr w:type="gramEnd"/>
      <w:r w:rsidR="005665FF" w:rsidRPr="005665FF">
        <w:rPr>
          <w:rFonts w:ascii="Calibri" w:eastAsia="Times New Roman" w:hAnsi="Calibri" w:cs="Calibri"/>
          <w:b/>
          <w:bCs/>
          <w:color w:val="800000"/>
        </w:rPr>
        <w:t xml:space="preserve"> Vietnamese coal sector: the chances offered by biomass co-firing.</w:t>
      </w:r>
      <w:bookmarkEnd w:id="73"/>
    </w:p>
    <w:p w14:paraId="011EE6F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An Ha Truong, Piera Patrizio, Sylvain Leduc, Florian </w:t>
      </w:r>
      <w:proofErr w:type="spellStart"/>
      <w:r w:rsidRPr="005665FF">
        <w:rPr>
          <w:rFonts w:ascii="Arial" w:eastAsia="Times New Roman" w:hAnsi="Arial" w:cs="Arial"/>
          <w:color w:val="000000"/>
          <w:sz w:val="24"/>
          <w:szCs w:val="24"/>
        </w:rPr>
        <w:t>Kraxner</w:t>
      </w:r>
      <w:proofErr w:type="spellEnd"/>
      <w:r w:rsidRPr="005665FF">
        <w:rPr>
          <w:rFonts w:ascii="Arial" w:eastAsia="Times New Roman" w:hAnsi="Arial" w:cs="Arial"/>
          <w:color w:val="000000"/>
          <w:sz w:val="24"/>
          <w:szCs w:val="24"/>
        </w:rPr>
        <w:t xml:space="preserve"> and Minh Ha-Duong. Journal of Cleaner Production, 2019.</w:t>
      </w:r>
    </w:p>
    <w:p w14:paraId="198FF3A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282A6D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Vietnam’s Power Development Plan 7A authorized many new coal power plants projects, implying an increase of greenhouse gases emissions from 90 MtCO2eq/year today to 360 MtCO2eq/year in 2030. How could co-firing technology –that is the partial substitution of coal by biomass– contributes to mitigate that problem? In this study, we assess the costs and potentials of co-firing rice residues in present and planned coal power plants in Vietnam using a spatially explicit optimization model: </w:t>
      </w:r>
      <w:proofErr w:type="spellStart"/>
      <w:r w:rsidRPr="005665FF">
        <w:rPr>
          <w:rFonts w:ascii="Arial" w:eastAsia="Times New Roman" w:hAnsi="Arial" w:cs="Arial"/>
          <w:color w:val="000000"/>
          <w:sz w:val="24"/>
          <w:szCs w:val="24"/>
        </w:rPr>
        <w:t>BeWhere</w:t>
      </w:r>
      <w:proofErr w:type="spellEnd"/>
      <w:r w:rsidRPr="005665FF">
        <w:rPr>
          <w:rFonts w:ascii="Arial" w:eastAsia="Times New Roman" w:hAnsi="Arial" w:cs="Arial"/>
          <w:color w:val="000000"/>
          <w:sz w:val="24"/>
          <w:szCs w:val="24"/>
        </w:rPr>
        <w:t>, adapted as recursive annual dynamic. We found that, the cost of CO2 emissions is the key parameter determining at what level the technology is used. A cost of CO2 emissions of 8 $/tCO2 mobilizes the maximum technical potential of the rice straw and husk domestic resource, with an annual emission reduction of 28 MtCO2eq/year by 2030. At this level, biomass co-firing contributes to an 8% emission reduction in the coal power sector with the abatement cost of 137 Million USD.</w:t>
      </w:r>
    </w:p>
    <w:p w14:paraId="2948017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A6C91DC"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74" w:name="m_8873885906141426999__Toc2349079"/>
      <w:r w:rsidRPr="005665FF">
        <w:rPr>
          <w:rFonts w:ascii="Calibri" w:eastAsia="Times New Roman" w:hAnsi="Calibri" w:cs="Calibri"/>
          <w:b/>
          <w:bCs/>
          <w:color w:val="800000"/>
        </w:rPr>
        <w:t>Informal Recycling and Social Preferences: Evidence from Household Survey Data in Vietnam.</w:t>
      </w:r>
      <w:bookmarkEnd w:id="74"/>
    </w:p>
    <w:p w14:paraId="4224932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Hide-</w:t>
      </w:r>
      <w:proofErr w:type="spellStart"/>
      <w:r w:rsidRPr="005665FF">
        <w:rPr>
          <w:rFonts w:ascii="Arial" w:eastAsia="Times New Roman" w:hAnsi="Arial" w:cs="Arial"/>
          <w:color w:val="000000"/>
          <w:sz w:val="24"/>
          <w:szCs w:val="24"/>
        </w:rPr>
        <w:t>Fumi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Yokoo</w:t>
      </w:r>
      <w:proofErr w:type="spellEnd"/>
      <w:r w:rsidRPr="005665FF">
        <w:rPr>
          <w:rFonts w:ascii="Arial" w:eastAsia="Times New Roman" w:hAnsi="Arial" w:cs="Arial"/>
          <w:color w:val="000000"/>
          <w:sz w:val="24"/>
          <w:szCs w:val="24"/>
        </w:rPr>
        <w:t>, Kosuke Kawai and Yuki Higuchi. Resource and Energy Economics, 2018, volume 54.</w:t>
      </w:r>
    </w:p>
    <w:p w14:paraId="102DAD5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35F8D3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study examines the association between social preferences and recycling behavior in a developing country. A conceptual framework that modifies the impure altruism model with heterogeneous preferences and further incorporates the impure public good model is presented to study informal recycling behaviors. Based on survey data collected from 755 households in Hanoi, Vietnam, we find that the majority of sample households recycle all the recyclable materials they consume even though such recycling is not obligatory. Half the recycling households sell their recyclables to </w:t>
      </w:r>
      <w:r w:rsidRPr="005665FF">
        <w:rPr>
          <w:rFonts w:ascii="Arial" w:eastAsia="Times New Roman" w:hAnsi="Arial" w:cs="Arial"/>
          <w:color w:val="000000"/>
          <w:sz w:val="24"/>
          <w:szCs w:val="24"/>
        </w:rPr>
        <w:lastRenderedPageBreak/>
        <w:t>informal junk buyers, whereas the other half provide recyclables without monetary compensation. Our finding of voluntary recycling implies that a certain proportion of households have a positive marginal willingness to pay for an increase in the environmental public good. The results of the regression analyses show that recycling behavior is associated with altruism, as measured by a modified version of the self-report altruism scale. Among high-income households, recycling behavior is associated with inequality aversion, as elicited from a hypothetical game. These findings suggest that social preferences are important determinants of the private provision of public goods through the informal sector in a developing country.</w:t>
      </w:r>
    </w:p>
    <w:p w14:paraId="43BA449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9A67AB7"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5BE51543" w14:textId="72BE8E6D"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7E6D9A1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DBD034D"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75" w:name="m_8873885906141426999__Toc2349080"/>
      <w:r w:rsidRPr="005665FF">
        <w:rPr>
          <w:rFonts w:ascii="Arial" w:eastAsia="Times New Roman" w:hAnsi="Arial" w:cs="Arial"/>
          <w:b/>
          <w:bCs/>
          <w:color w:val="FFFFFF"/>
          <w:kern w:val="36"/>
          <w:sz w:val="48"/>
          <w:szCs w:val="48"/>
        </w:rPr>
        <w:t>GENDER ISSUES</w:t>
      </w:r>
      <w:bookmarkEnd w:id="75"/>
    </w:p>
    <w:p w14:paraId="67347B8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3750DF0"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76" w:name="m_8873885906141426999__Toc2349081"/>
      <w:r w:rsidRPr="005665FF">
        <w:rPr>
          <w:rFonts w:ascii="Calibri" w:eastAsia="Times New Roman" w:hAnsi="Calibri" w:cs="Calibri"/>
          <w:b/>
          <w:bCs/>
          <w:color w:val="800000"/>
        </w:rPr>
        <w:t>Changing male perceptions of gender equality: Evidence from an experimental study.</w:t>
      </w:r>
      <w:bookmarkEnd w:id="76"/>
    </w:p>
    <w:p w14:paraId="1CA4AD1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Cuong</w:t>
      </w:r>
      <w:proofErr w:type="spellEnd"/>
      <w:r w:rsidRPr="005665FF">
        <w:rPr>
          <w:rFonts w:ascii="Arial" w:eastAsia="Times New Roman" w:hAnsi="Arial" w:cs="Arial"/>
          <w:color w:val="000000"/>
          <w:sz w:val="24"/>
          <w:szCs w:val="24"/>
        </w:rPr>
        <w:t xml:space="preserve"> Nguyen and Finn Tarp. WIDER Working Paper Series from World Institute for Development Economic Research (UNU-WIDER) No 171, 2018.</w:t>
      </w:r>
    </w:p>
    <w:p w14:paraId="749143B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37" w:tgtFrame="_blank" w:history="1">
        <w:r w:rsidRPr="005665FF">
          <w:rPr>
            <w:rFonts w:ascii="Arial" w:eastAsia="Times New Roman" w:hAnsi="Arial" w:cs="Arial"/>
            <w:color w:val="1155CC"/>
            <w:sz w:val="24"/>
            <w:szCs w:val="24"/>
            <w:u w:val="single"/>
          </w:rPr>
          <w:t>https://econpapers.repec.org/paper/unuwpaper/wp2018-171.htm</w:t>
        </w:r>
      </w:hyperlink>
      <w:r w:rsidRPr="005665FF">
        <w:rPr>
          <w:rFonts w:ascii="Arial" w:eastAsia="Times New Roman" w:hAnsi="Arial" w:cs="Arial"/>
          <w:color w:val="000000"/>
          <w:sz w:val="24"/>
          <w:szCs w:val="24"/>
        </w:rPr>
        <w:t>.</w:t>
      </w:r>
    </w:p>
    <w:p w14:paraId="03DEAC3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08104B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Reducing gender inequality is a critically important development challenge, especially in countries with widespread and deep-rooted prejudices against women. In this study, we use a randomized control trial to examine whether facilitating Vietnamese men to reflect about gender equality can reduce their gender bias. We randomly selected two groups of husbands and requested one group to make comments on gender-related laws and another group to write stories about gender equality. We find that commenting on gender-related laws reduces men’s bias against women slightly, while writing stories has a strong effect on reducing existing prejudice against women. Moreover, writing gender-related stories improves men’s knowledge of gender-related laws. Nonetheless, there is only a small effect of this treatment on doing housework. Changing men’s </w:t>
      </w:r>
      <w:proofErr w:type="spellStart"/>
      <w:r w:rsidRPr="005665FF">
        <w:rPr>
          <w:rFonts w:ascii="Arial" w:eastAsia="Times New Roman" w:hAnsi="Arial" w:cs="Arial"/>
          <w:color w:val="000000"/>
          <w:sz w:val="24"/>
          <w:szCs w:val="24"/>
        </w:rPr>
        <w:t>behaviour</w:t>
      </w:r>
      <w:proofErr w:type="spellEnd"/>
      <w:r w:rsidRPr="005665FF">
        <w:rPr>
          <w:rFonts w:ascii="Arial" w:eastAsia="Times New Roman" w:hAnsi="Arial" w:cs="Arial"/>
          <w:color w:val="000000"/>
          <w:sz w:val="24"/>
          <w:szCs w:val="24"/>
        </w:rPr>
        <w:t xml:space="preserve"> in practice requires stronger, more sustained interventions</w:t>
      </w:r>
      <w:proofErr w:type="gramStart"/>
      <w:r w:rsidRPr="005665FF">
        <w:rPr>
          <w:rFonts w:ascii="Arial" w:eastAsia="Times New Roman" w:hAnsi="Arial" w:cs="Arial"/>
          <w:color w:val="000000"/>
          <w:sz w:val="24"/>
          <w:szCs w:val="24"/>
        </w:rPr>
        <w:t>. .</w:t>
      </w:r>
      <w:proofErr w:type="gramEnd"/>
    </w:p>
    <w:p w14:paraId="409E67F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8079B98"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77" w:name="m_8873885906141426999__Toc2349082"/>
      <w:r w:rsidRPr="005665FF">
        <w:rPr>
          <w:rFonts w:ascii="Calibri" w:eastAsia="Times New Roman" w:hAnsi="Calibri" w:cs="Calibri"/>
          <w:b/>
          <w:bCs/>
          <w:color w:val="800000"/>
        </w:rPr>
        <w:t>Decomposing Vietnamese gender equality in terms of wage distribution.</w:t>
      </w:r>
      <w:bookmarkEnd w:id="77"/>
    </w:p>
    <w:p w14:paraId="76E8CB6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Tien M. Vu and Hiroyuki Yamada. Pacific Economic Review, 2018, volume 23, number 5.</w:t>
      </w:r>
    </w:p>
    <w:p w14:paraId="5BD0A05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DA4D73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We decompose the gender wage gap in terms of wage distribution in Vietnam during 2002–2014 using two methods. The first method uses two estimated counterfactual distributions; the second uses an estimated </w:t>
      </w:r>
      <w:proofErr w:type="spellStart"/>
      <w:r w:rsidRPr="005665FF">
        <w:rPr>
          <w:rFonts w:ascii="Arial" w:eastAsia="Times New Roman" w:hAnsi="Arial" w:cs="Arial"/>
          <w:color w:val="000000"/>
          <w:sz w:val="24"/>
          <w:szCs w:val="24"/>
        </w:rPr>
        <w:t>recentred</w:t>
      </w:r>
      <w:proofErr w:type="spellEnd"/>
      <w:r w:rsidRPr="005665FF">
        <w:rPr>
          <w:rFonts w:ascii="Arial" w:eastAsia="Times New Roman" w:hAnsi="Arial" w:cs="Arial"/>
          <w:color w:val="000000"/>
          <w:sz w:val="24"/>
          <w:szCs w:val="24"/>
        </w:rPr>
        <w:t xml:space="preserve"> influence function. We focus on the formal sector and find evidence for a consistent gender wage gap, with the price of skills being the main contributor. In contrast, </w:t>
      </w:r>
      <w:proofErr w:type="spellStart"/>
      <w:r w:rsidRPr="005665FF">
        <w:rPr>
          <w:rFonts w:ascii="Arial" w:eastAsia="Times New Roman" w:hAnsi="Arial" w:cs="Arial"/>
          <w:color w:val="000000"/>
          <w:sz w:val="24"/>
          <w:szCs w:val="24"/>
        </w:rPr>
        <w:t>labour</w:t>
      </w:r>
      <w:proofErr w:type="spellEnd"/>
      <w:r w:rsidRPr="005665FF">
        <w:rPr>
          <w:rFonts w:ascii="Arial" w:eastAsia="Times New Roman" w:hAnsi="Arial" w:cs="Arial"/>
          <w:color w:val="000000"/>
          <w:sz w:val="24"/>
          <w:szCs w:val="24"/>
        </w:rPr>
        <w:t xml:space="preserve"> market discrimination does not have a crucial influence. Some gender equality gained by the distribution of skills can be explained by the rise in women's education and women's participation in specific industries, occupations and the growing private sector.</w:t>
      </w:r>
    </w:p>
    <w:p w14:paraId="67E0509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D5B229A"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3475B9D8" w14:textId="3C4B5619"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005665FF" w:rsidRPr="005665FF">
        <w:rPr>
          <w:rFonts w:ascii="Arial" w:eastAsia="Times New Roman" w:hAnsi="Arial" w:cs="Arial"/>
          <w:color w:val="000000"/>
          <w:sz w:val="24"/>
          <w:szCs w:val="24"/>
        </w:rPr>
        <w:t> </w:t>
      </w:r>
    </w:p>
    <w:p w14:paraId="2367758D"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78" w:name="m_8873885906141426999__Toc2349083"/>
      <w:r w:rsidRPr="005665FF">
        <w:rPr>
          <w:rFonts w:ascii="Calibri" w:eastAsia="Times New Roman" w:hAnsi="Calibri" w:cs="Calibri"/>
          <w:b/>
          <w:bCs/>
          <w:color w:val="800000"/>
        </w:rPr>
        <w:t>Disasters, Ruins, and Crises: Masculinity and Ramifications of Storms in Vietnam.</w:t>
      </w:r>
      <w:bookmarkEnd w:id="78"/>
    </w:p>
    <w:p w14:paraId="5315732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Helle</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Rydstrom</w:t>
      </w:r>
      <w:proofErr w:type="spellEnd"/>
      <w:r w:rsidRPr="005665FF">
        <w:rPr>
          <w:rFonts w:ascii="Arial" w:eastAsia="Times New Roman" w:hAnsi="Arial" w:cs="Arial"/>
          <w:color w:val="000000"/>
          <w:sz w:val="24"/>
          <w:szCs w:val="24"/>
        </w:rPr>
        <w:t>. Ethnos, 2019, pp. 1-20.</w:t>
      </w:r>
    </w:p>
    <w:p w14:paraId="78EF32D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38" w:tgtFrame="_blank" w:history="1">
        <w:r w:rsidRPr="005665FF">
          <w:rPr>
            <w:rFonts w:ascii="Arial" w:eastAsia="Times New Roman" w:hAnsi="Arial" w:cs="Arial"/>
            <w:color w:val="1155CC"/>
            <w:sz w:val="24"/>
            <w:szCs w:val="24"/>
            <w:u w:val="single"/>
          </w:rPr>
          <w:t>https://doi.org/10.1080/00141844.2018.1561490</w:t>
        </w:r>
      </w:hyperlink>
      <w:r w:rsidRPr="005665FF">
        <w:rPr>
          <w:rFonts w:ascii="Arial" w:eastAsia="Times New Roman" w:hAnsi="Arial" w:cs="Arial"/>
          <w:color w:val="000000"/>
          <w:sz w:val="24"/>
          <w:szCs w:val="24"/>
        </w:rPr>
        <w:t>.</w:t>
      </w:r>
    </w:p>
    <w:p w14:paraId="0B7F8C7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73BDFE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article explores climate disasters in the era of the Anthropocene from a gender specific crisis perspective; as conditions of unpredictable outcomes and ruination which are encroaching differentiated ramifications upon inhabitants in coastal Vietnam. The article contests the ways in which the notions of vulnerability and resilience tend to understand a disaster as an interrupting event, which could be overcome by those upon whom the damage has befallen so life can return to normal. A crisis perspective, the article argues, offers an alternative avenue to an analysis of disasters by focusing on the entanglements between a crisis of emergency and a spectrum of various crises antecedents fostered by gendered livelihoods, masculinized privileges, and </w:t>
      </w:r>
      <w:proofErr w:type="spellStart"/>
      <w:r w:rsidRPr="005665FF">
        <w:rPr>
          <w:rFonts w:ascii="Arial" w:eastAsia="Times New Roman" w:hAnsi="Arial" w:cs="Arial"/>
          <w:color w:val="000000"/>
          <w:sz w:val="24"/>
          <w:szCs w:val="24"/>
        </w:rPr>
        <w:t>violences</w:t>
      </w:r>
      <w:proofErr w:type="spellEnd"/>
      <w:r w:rsidRPr="005665FF">
        <w:rPr>
          <w:rFonts w:ascii="Arial" w:eastAsia="Times New Roman" w:hAnsi="Arial" w:cs="Arial"/>
          <w:color w:val="000000"/>
          <w:sz w:val="24"/>
          <w:szCs w:val="24"/>
        </w:rPr>
        <w:t>. When various crises modalities, intensities, and temporalities intersect with one another, a crisis in context might morph into crisis as context; into a disordered order of slow harm which impedes the return to pre-disaster normalcy.</w:t>
      </w:r>
    </w:p>
    <w:p w14:paraId="0F0AAA9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73F49BC"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79" w:name="m_8873885906141426999__Toc2349084"/>
      <w:r w:rsidRPr="005665FF">
        <w:rPr>
          <w:rFonts w:ascii="Calibri" w:eastAsia="Times New Roman" w:hAnsi="Calibri" w:cs="Calibri"/>
          <w:b/>
          <w:bCs/>
          <w:color w:val="800000"/>
        </w:rPr>
        <w:t>Increasing women's leadership in science in Ho Chi Minh City.</w:t>
      </w:r>
      <w:bookmarkEnd w:id="79"/>
    </w:p>
    <w:p w14:paraId="41FC73D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Ngo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Nguyen Thuy </w:t>
      </w:r>
      <w:proofErr w:type="spellStart"/>
      <w:r w:rsidRPr="005665FF">
        <w:rPr>
          <w:rFonts w:ascii="Arial" w:eastAsia="Times New Roman" w:hAnsi="Arial" w:cs="Arial"/>
          <w:color w:val="000000"/>
          <w:sz w:val="24"/>
          <w:szCs w:val="24"/>
        </w:rPr>
        <w:t>Thuong</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Thuong</w:t>
      </w:r>
      <w:proofErr w:type="spellEnd"/>
      <w:r w:rsidRPr="005665FF">
        <w:rPr>
          <w:rFonts w:ascii="Arial" w:eastAsia="Times New Roman" w:hAnsi="Arial" w:cs="Arial"/>
          <w:color w:val="000000"/>
          <w:sz w:val="24"/>
          <w:szCs w:val="24"/>
        </w:rPr>
        <w:t xml:space="preserve">, Hannah E. </w:t>
      </w:r>
      <w:proofErr w:type="spellStart"/>
      <w:r w:rsidRPr="005665FF">
        <w:rPr>
          <w:rFonts w:ascii="Arial" w:eastAsia="Times New Roman" w:hAnsi="Arial" w:cs="Arial"/>
          <w:color w:val="000000"/>
          <w:sz w:val="24"/>
          <w:szCs w:val="24"/>
        </w:rPr>
        <w:t>Clapham</w:t>
      </w:r>
      <w:proofErr w:type="spellEnd"/>
      <w:r w:rsidRPr="005665FF">
        <w:rPr>
          <w:rFonts w:ascii="Arial" w:eastAsia="Times New Roman" w:hAnsi="Arial" w:cs="Arial"/>
          <w:color w:val="000000"/>
          <w:sz w:val="24"/>
          <w:szCs w:val="24"/>
        </w:rPr>
        <w:t xml:space="preserve">, Tran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Anh Thu, Evelyne </w:t>
      </w:r>
      <w:proofErr w:type="spellStart"/>
      <w:r w:rsidRPr="005665FF">
        <w:rPr>
          <w:rFonts w:ascii="Arial" w:eastAsia="Times New Roman" w:hAnsi="Arial" w:cs="Arial"/>
          <w:color w:val="000000"/>
          <w:sz w:val="24"/>
          <w:szCs w:val="24"/>
        </w:rPr>
        <w:t>Kestelyn</w:t>
      </w:r>
      <w:proofErr w:type="spellEnd"/>
      <w:r w:rsidRPr="005665FF">
        <w:rPr>
          <w:rFonts w:ascii="Arial" w:eastAsia="Times New Roman" w:hAnsi="Arial" w:cs="Arial"/>
          <w:color w:val="000000"/>
          <w:sz w:val="24"/>
          <w:szCs w:val="24"/>
        </w:rPr>
        <w:t xml:space="preserve"> and others. The Lancet, 2019, volume 393, number 10171, pp. 523-524.</w:t>
      </w:r>
    </w:p>
    <w:p w14:paraId="0CF4979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Free full text </w:t>
      </w:r>
      <w:hyperlink r:id="rId39" w:tgtFrame="_blank" w:history="1">
        <w:r w:rsidRPr="005665FF">
          <w:rPr>
            <w:rFonts w:ascii="Arial" w:eastAsia="Times New Roman" w:hAnsi="Arial" w:cs="Arial"/>
            <w:color w:val="1155CC"/>
            <w:sz w:val="24"/>
            <w:szCs w:val="24"/>
            <w:u w:val="single"/>
          </w:rPr>
          <w:t>https://doi.org/10.1016/S0140-6736(18)32090-7</w:t>
        </w:r>
      </w:hyperlink>
      <w:r w:rsidRPr="005665FF">
        <w:rPr>
          <w:rFonts w:ascii="Arial" w:eastAsia="Times New Roman" w:hAnsi="Arial" w:cs="Arial"/>
          <w:color w:val="000000"/>
          <w:sz w:val="24"/>
          <w:szCs w:val="24"/>
        </w:rPr>
        <w:t>.</w:t>
      </w:r>
    </w:p>
    <w:p w14:paraId="1E68FE5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CF2DC39"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80" w:name="m_8873885906141426999__Toc2349085"/>
      <w:proofErr w:type="spellStart"/>
      <w:r w:rsidRPr="005665FF">
        <w:rPr>
          <w:rFonts w:ascii="Calibri" w:eastAsia="Times New Roman" w:hAnsi="Calibri" w:cs="Calibri"/>
          <w:b/>
          <w:bCs/>
          <w:color w:val="800000"/>
        </w:rPr>
        <w:t>Recognising</w:t>
      </w:r>
      <w:proofErr w:type="spellEnd"/>
      <w:r w:rsidRPr="005665FF">
        <w:rPr>
          <w:rFonts w:ascii="Calibri" w:eastAsia="Times New Roman" w:hAnsi="Calibri" w:cs="Calibri"/>
          <w:b/>
          <w:bCs/>
          <w:color w:val="800000"/>
        </w:rPr>
        <w:t xml:space="preserve"> shadows: masculinism, resistance, and recognition in Vietnam.</w:t>
      </w:r>
      <w:bookmarkEnd w:id="80"/>
    </w:p>
    <w:p w14:paraId="4BF7578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Paul Horton. NORMA, 2019, pp. 1-15.</w:t>
      </w:r>
    </w:p>
    <w:p w14:paraId="6AE5308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5829EA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Pride parades, LGBT rights demonstrations, and revisions to the Marriage and Family Law highlight the extent to which norms and values related to gender, sexuality, marriage, and the family have recently been challenged in Vietnam. They also illuminate the gendered power relations being played out in the socio-cultural context of Vietnam, and thus open up for a more in-depth consideration of the ways in which LGBT people have experienced and resisted these relations in everyday life. Drawing on ethnographic fieldwork conducted in Vietnam's two largest cities, Hanoi and Ho Chi Minh City, in 2012, this article discusses the relations between these power relations, the dominant Vietnamese discourse of masculinity, or masculinism, and the politics of recognition. In particular, it focuses on the ways in which Vietnamese gay men have resisted heteronormative </w:t>
      </w:r>
      <w:proofErr w:type="spellStart"/>
      <w:r w:rsidRPr="005665FF">
        <w:rPr>
          <w:rFonts w:ascii="Arial" w:eastAsia="Times New Roman" w:hAnsi="Arial" w:cs="Arial"/>
          <w:color w:val="000000"/>
          <w:sz w:val="24"/>
          <w:szCs w:val="24"/>
        </w:rPr>
        <w:t>normalising</w:t>
      </w:r>
      <w:proofErr w:type="spellEnd"/>
      <w:r w:rsidRPr="005665FF">
        <w:rPr>
          <w:rFonts w:ascii="Arial" w:eastAsia="Times New Roman" w:hAnsi="Arial" w:cs="Arial"/>
          <w:color w:val="000000"/>
          <w:sz w:val="24"/>
          <w:szCs w:val="24"/>
        </w:rPr>
        <w:t xml:space="preserve"> practices in their search for the recognition of self and others. </w:t>
      </w:r>
      <w:proofErr w:type="spellStart"/>
      <w:r w:rsidRPr="005665FF">
        <w:rPr>
          <w:rFonts w:ascii="Arial" w:eastAsia="Times New Roman" w:hAnsi="Arial" w:cs="Arial"/>
          <w:color w:val="000000"/>
          <w:sz w:val="24"/>
          <w:szCs w:val="24"/>
        </w:rPr>
        <w:t>Utilising</w:t>
      </w:r>
      <w:proofErr w:type="spellEnd"/>
      <w:r w:rsidRPr="005665FF">
        <w:rPr>
          <w:rFonts w:ascii="Arial" w:eastAsia="Times New Roman" w:hAnsi="Arial" w:cs="Arial"/>
          <w:color w:val="000000"/>
          <w:sz w:val="24"/>
          <w:szCs w:val="24"/>
        </w:rPr>
        <w:t xml:space="preserve"> the local term </w:t>
      </w:r>
      <w:proofErr w:type="spellStart"/>
      <w:r w:rsidRPr="005665FF">
        <w:rPr>
          <w:rFonts w:ascii="Arial" w:eastAsia="Times New Roman" w:hAnsi="Arial" w:cs="Arial"/>
          <w:color w:val="000000"/>
          <w:sz w:val="24"/>
          <w:szCs w:val="24"/>
        </w:rPr>
        <w:t>bóng</w:t>
      </w:r>
      <w:proofErr w:type="spellEnd"/>
      <w:r w:rsidRPr="005665FF">
        <w:rPr>
          <w:rFonts w:ascii="Arial" w:eastAsia="Times New Roman" w:hAnsi="Arial" w:cs="Arial"/>
          <w:color w:val="000000"/>
          <w:sz w:val="24"/>
          <w:szCs w:val="24"/>
        </w:rPr>
        <w:t xml:space="preserve">, </w:t>
      </w:r>
      <w:proofErr w:type="gramStart"/>
      <w:r w:rsidRPr="005665FF">
        <w:rPr>
          <w:rFonts w:ascii="Arial" w:eastAsia="Times New Roman" w:hAnsi="Arial" w:cs="Arial"/>
          <w:color w:val="000000"/>
          <w:sz w:val="24"/>
          <w:szCs w:val="24"/>
        </w:rPr>
        <w:t>or ?</w:t>
      </w:r>
      <w:proofErr w:type="gramEnd"/>
      <w:r w:rsidRPr="005665FF">
        <w:rPr>
          <w:rFonts w:ascii="Arial" w:eastAsia="Times New Roman" w:hAnsi="Arial" w:cs="Arial"/>
          <w:color w:val="000000"/>
          <w:sz w:val="24"/>
          <w:szCs w:val="24"/>
        </w:rPr>
        <w:t>shadow?, the article highlights the ways in which light and shadow can be used metaphorically to understand gay men's struggles for the recognition of self and others in contemporary Vietnam.</w:t>
      </w:r>
    </w:p>
    <w:p w14:paraId="2F0C515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B4C7846"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06996222" w14:textId="4FAEF137"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4556589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C907E95"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81" w:name="m_8873885906141426999__Toc2349086"/>
      <w:r w:rsidRPr="005665FF">
        <w:rPr>
          <w:rFonts w:ascii="Arial" w:eastAsia="Times New Roman" w:hAnsi="Arial" w:cs="Arial"/>
          <w:b/>
          <w:bCs/>
          <w:color w:val="FFFFFF"/>
          <w:kern w:val="36"/>
          <w:sz w:val="48"/>
          <w:szCs w:val="48"/>
        </w:rPr>
        <w:t>GOVERNANCE</w:t>
      </w:r>
      <w:bookmarkEnd w:id="81"/>
    </w:p>
    <w:p w14:paraId="6E54CDA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66364DA"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82" w:name="m_8873885906141426999__Toc2349087"/>
      <w:r w:rsidRPr="005665FF">
        <w:rPr>
          <w:rFonts w:ascii="Calibri" w:eastAsia="Times New Roman" w:hAnsi="Calibri" w:cs="Calibri"/>
          <w:b/>
          <w:bCs/>
          <w:color w:val="800000"/>
        </w:rPr>
        <w:t>The Impact of Public Governance on Household Income: A Quantile Panel Analysis.</w:t>
      </w:r>
      <w:bookmarkEnd w:id="82"/>
    </w:p>
    <w:p w14:paraId="6E20D48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Tuyen Tran, </w:t>
      </w:r>
      <w:proofErr w:type="spellStart"/>
      <w:r w:rsidRPr="005665FF">
        <w:rPr>
          <w:rFonts w:ascii="Arial" w:eastAsia="Times New Roman" w:hAnsi="Arial" w:cs="Arial"/>
          <w:color w:val="000000"/>
          <w:sz w:val="24"/>
          <w:szCs w:val="24"/>
        </w:rPr>
        <w:t>Tinh</w:t>
      </w:r>
      <w:proofErr w:type="spellEnd"/>
      <w:r w:rsidRPr="005665FF">
        <w:rPr>
          <w:rFonts w:ascii="Arial" w:eastAsia="Times New Roman" w:hAnsi="Arial" w:cs="Arial"/>
          <w:color w:val="000000"/>
          <w:sz w:val="24"/>
          <w:szCs w:val="24"/>
        </w:rPr>
        <w:t xml:space="preserve"> Doan, Huong Vu and Hien Nguyen. Germany MPRA Paper from University Library of Munich, 2018.</w:t>
      </w:r>
    </w:p>
    <w:p w14:paraId="7C8687B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40" w:tgtFrame="_blank" w:history="1">
        <w:r w:rsidRPr="005665FF">
          <w:rPr>
            <w:rFonts w:ascii="Arial" w:eastAsia="Times New Roman" w:hAnsi="Arial" w:cs="Arial"/>
            <w:color w:val="1155CC"/>
            <w:sz w:val="24"/>
            <w:szCs w:val="24"/>
            <w:u w:val="single"/>
          </w:rPr>
          <w:t>https://econpapers.repec.org/paper/pramprapa/90415.htm</w:t>
        </w:r>
      </w:hyperlink>
      <w:r w:rsidRPr="005665FF">
        <w:rPr>
          <w:rFonts w:ascii="Arial" w:eastAsia="Times New Roman" w:hAnsi="Arial" w:cs="Arial"/>
          <w:color w:val="000000"/>
          <w:sz w:val="24"/>
          <w:szCs w:val="24"/>
        </w:rPr>
        <w:t>.</w:t>
      </w:r>
    </w:p>
    <w:p w14:paraId="5010C8A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EEE746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study investigated the role of provincial governance on the growth of per capita income of Vietnamese households, using a balanced panel dataset for the period </w:t>
      </w:r>
      <w:r w:rsidRPr="005665FF">
        <w:rPr>
          <w:rFonts w:ascii="Arial" w:eastAsia="Times New Roman" w:hAnsi="Arial" w:cs="Arial"/>
          <w:color w:val="000000"/>
          <w:sz w:val="24"/>
          <w:szCs w:val="24"/>
        </w:rPr>
        <w:lastRenderedPageBreak/>
        <w:t>2012-2014. Whereas we found no evidence for the influence of provincial governance when a linear fixed-effect regression estimator was used, the results from a fixed-effect quantile regression estimator reveal that provincial governance has a positive effect on several groups (but not the poorest) and the effect tends to be greater for better-off households. In addition, we find that wage employment plays a larger role in the income growth of poorer households, while returns on education are higher for richer households. The findings suggest that a mean regression approach that looks only at the role of explanatory variables on mean household welfare and does not consider differences in the distribution of household welfare, may miss some heterogeneity that is of interest to policy makers</w:t>
      </w:r>
      <w:proofErr w:type="gramStart"/>
      <w:r w:rsidRPr="005665FF">
        <w:rPr>
          <w:rFonts w:ascii="Arial" w:eastAsia="Times New Roman" w:hAnsi="Arial" w:cs="Arial"/>
          <w:color w:val="000000"/>
          <w:sz w:val="24"/>
          <w:szCs w:val="24"/>
        </w:rPr>
        <w:t>. .</w:t>
      </w:r>
      <w:proofErr w:type="gramEnd"/>
    </w:p>
    <w:p w14:paraId="0CF5579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B2CDA3F"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83" w:name="m_8873885906141426999__Toc2349088"/>
      <w:r w:rsidRPr="005665FF">
        <w:rPr>
          <w:rFonts w:ascii="Calibri" w:eastAsia="Times New Roman" w:hAnsi="Calibri" w:cs="Calibri"/>
          <w:b/>
          <w:bCs/>
          <w:color w:val="800000"/>
        </w:rPr>
        <w:t>Leadership Reshuffle and the Future of Vietnam’s Collective Leadership.</w:t>
      </w:r>
      <w:bookmarkEnd w:id="83"/>
    </w:p>
    <w:p w14:paraId="42BD7FC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Paul Schuler and Mai Truong. ISEAS Perspective 2019/9, 2019.</w:t>
      </w:r>
    </w:p>
    <w:p w14:paraId="7ADC97F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41" w:tgtFrame="_blank" w:history="1">
        <w:r w:rsidRPr="005665FF">
          <w:rPr>
            <w:rFonts w:ascii="Arial" w:eastAsia="Times New Roman" w:hAnsi="Arial" w:cs="Arial"/>
            <w:color w:val="1155CC"/>
            <w:sz w:val="24"/>
            <w:szCs w:val="24"/>
            <w:u w:val="single"/>
          </w:rPr>
          <w:t>https://www.iseas.edu.sg/images/pdf/ISEAS_Perspective_2019_9.pdf</w:t>
        </w:r>
      </w:hyperlink>
      <w:r w:rsidRPr="005665FF">
        <w:rPr>
          <w:rFonts w:ascii="Arial" w:eastAsia="Times New Roman" w:hAnsi="Arial" w:cs="Arial"/>
          <w:color w:val="000000"/>
          <w:sz w:val="24"/>
          <w:szCs w:val="24"/>
        </w:rPr>
        <w:t>.</w:t>
      </w:r>
    </w:p>
    <w:p w14:paraId="7BBDC26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9D8D3B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On 23 October 2018, Vietnam's National Assembly confirmed General Secretary of Vietnam's Communist Party, Nguyen </w:t>
      </w:r>
      <w:proofErr w:type="spellStart"/>
      <w:r w:rsidRPr="005665FF">
        <w:rPr>
          <w:rFonts w:ascii="Arial" w:eastAsia="Times New Roman" w:hAnsi="Arial" w:cs="Arial"/>
          <w:color w:val="000000"/>
          <w:sz w:val="24"/>
          <w:szCs w:val="24"/>
        </w:rPr>
        <w:t>Phu</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Trong</w:t>
      </w:r>
      <w:proofErr w:type="spellEnd"/>
      <w:r w:rsidRPr="005665FF">
        <w:rPr>
          <w:rFonts w:ascii="Arial" w:eastAsia="Times New Roman" w:hAnsi="Arial" w:cs="Arial"/>
          <w:color w:val="000000"/>
          <w:sz w:val="24"/>
          <w:szCs w:val="24"/>
        </w:rPr>
        <w:t xml:space="preserve">, as president, following the sudden death of the President Tran Dai Quang. --- </w:t>
      </w:r>
      <w:proofErr w:type="spellStart"/>
      <w:r w:rsidRPr="005665FF">
        <w:rPr>
          <w:rFonts w:ascii="Arial" w:eastAsia="Times New Roman" w:hAnsi="Arial" w:cs="Arial"/>
          <w:color w:val="000000"/>
          <w:sz w:val="24"/>
          <w:szCs w:val="24"/>
        </w:rPr>
        <w:t>Trong</w:t>
      </w:r>
      <w:proofErr w:type="spellEnd"/>
      <w:r w:rsidRPr="005665FF">
        <w:rPr>
          <w:rFonts w:ascii="Arial" w:eastAsia="Times New Roman" w:hAnsi="Arial" w:cs="Arial"/>
          <w:color w:val="000000"/>
          <w:sz w:val="24"/>
          <w:szCs w:val="24"/>
        </w:rPr>
        <w:t xml:space="preserve"> is the first person to hold both titles since 1986. Some argue that the merger is either temporary or will not bring about substantive changes to the country's politics. Others suggest that by merging the posts of the president and the party secretary, Vietnam is following the one-man rule model found in China under President Xi Jinping. --- The implications are more likely to be somewhere in between. The surprising leadership reshuffle was not merely a matter of temporary convenience. Documents and ideological views expressed within the party presaged this change. At the same time, the merger will not automatically produce a strongman for Vietnam due to the continued institutional power of the prime minister position. --- The change will have the most impact if Nguyen Xuan </w:t>
      </w:r>
      <w:proofErr w:type="spellStart"/>
      <w:r w:rsidRPr="005665FF">
        <w:rPr>
          <w:rFonts w:ascii="Arial" w:eastAsia="Times New Roman" w:hAnsi="Arial" w:cs="Arial"/>
          <w:color w:val="000000"/>
          <w:sz w:val="24"/>
          <w:szCs w:val="24"/>
        </w:rPr>
        <w:t>Phuc</w:t>
      </w:r>
      <w:proofErr w:type="spellEnd"/>
      <w:r w:rsidRPr="005665FF">
        <w:rPr>
          <w:rFonts w:ascii="Arial" w:eastAsia="Times New Roman" w:hAnsi="Arial" w:cs="Arial"/>
          <w:color w:val="000000"/>
          <w:sz w:val="24"/>
          <w:szCs w:val="24"/>
        </w:rPr>
        <w:t xml:space="preserve"> becomes the next General Secretary, as he will be able to combine his influence within the state sector with control over the party machinery. --- The blurring of the division between party and government will decrease the power of Vietnam's National Assembly, which is one of the most active in the Communist world past or present. This will be accelerated if </w:t>
      </w:r>
      <w:proofErr w:type="spellStart"/>
      <w:r w:rsidRPr="005665FF">
        <w:rPr>
          <w:rFonts w:ascii="Arial" w:eastAsia="Times New Roman" w:hAnsi="Arial" w:cs="Arial"/>
          <w:color w:val="000000"/>
          <w:sz w:val="24"/>
          <w:szCs w:val="24"/>
        </w:rPr>
        <w:t>Phuc</w:t>
      </w:r>
      <w:proofErr w:type="spellEnd"/>
      <w:r w:rsidRPr="005665FF">
        <w:rPr>
          <w:rFonts w:ascii="Arial" w:eastAsia="Times New Roman" w:hAnsi="Arial" w:cs="Arial"/>
          <w:color w:val="000000"/>
          <w:sz w:val="24"/>
          <w:szCs w:val="24"/>
        </w:rPr>
        <w:t xml:space="preserve"> becomes the general secretary in 2021.</w:t>
      </w:r>
    </w:p>
    <w:p w14:paraId="4E3E367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3BD7004"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84" w:name="m_8873885906141426999__Toc2349089"/>
      <w:r w:rsidRPr="005665FF">
        <w:rPr>
          <w:rFonts w:ascii="Calibri" w:eastAsia="Times New Roman" w:hAnsi="Calibri" w:cs="Calibri"/>
          <w:b/>
          <w:bCs/>
          <w:color w:val="800000"/>
        </w:rPr>
        <w:t>Vietnam: A pathway from state socialism.</w:t>
      </w:r>
      <w:bookmarkEnd w:id="84"/>
    </w:p>
    <w:p w14:paraId="557F270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Thaveeporn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Vasavakul</w:t>
      </w:r>
      <w:proofErr w:type="spellEnd"/>
      <w:r w:rsidRPr="005665FF">
        <w:rPr>
          <w:rFonts w:ascii="Arial" w:eastAsia="Times New Roman" w:hAnsi="Arial" w:cs="Arial"/>
          <w:color w:val="000000"/>
          <w:sz w:val="24"/>
          <w:szCs w:val="24"/>
        </w:rPr>
        <w:t>. in: Elements in Politics and Society in Southeast Asia, Cambridge University Press, 2019.</w:t>
      </w:r>
    </w:p>
    <w:p w14:paraId="0A097F7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96B504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xml:space="preserve">Abstract: This is a study of Vietnam's socialist transition and state transformation, generally known as </w:t>
      </w:r>
      <w:proofErr w:type="spellStart"/>
      <w:r w:rsidRPr="005665FF">
        <w:rPr>
          <w:rFonts w:ascii="Arial" w:eastAsia="Times New Roman" w:hAnsi="Arial" w:cs="Arial"/>
          <w:color w:val="000000"/>
          <w:sz w:val="24"/>
          <w:szCs w:val="24"/>
        </w:rPr>
        <w:t>đổi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mới</w:t>
      </w:r>
      <w:proofErr w:type="spellEnd"/>
      <w:r w:rsidRPr="005665FF">
        <w:rPr>
          <w:rFonts w:ascii="Arial" w:eastAsia="Times New Roman" w:hAnsi="Arial" w:cs="Arial"/>
          <w:color w:val="000000"/>
          <w:sz w:val="24"/>
          <w:szCs w:val="24"/>
        </w:rPr>
        <w:t xml:space="preserve">. It examines the drivers of socialist-regime change, the nature of the </w:t>
      </w:r>
      <w:proofErr w:type="spellStart"/>
      <w:r w:rsidRPr="005665FF">
        <w:rPr>
          <w:rFonts w:ascii="Arial" w:eastAsia="Times New Roman" w:hAnsi="Arial" w:cs="Arial"/>
          <w:color w:val="000000"/>
          <w:sz w:val="24"/>
          <w:szCs w:val="24"/>
        </w:rPr>
        <w:t>đổi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mới</w:t>
      </w:r>
      <w:proofErr w:type="spellEnd"/>
      <w:r w:rsidRPr="005665FF">
        <w:rPr>
          <w:rFonts w:ascii="Arial" w:eastAsia="Times New Roman" w:hAnsi="Arial" w:cs="Arial"/>
          <w:color w:val="000000"/>
          <w:sz w:val="24"/>
          <w:szCs w:val="24"/>
        </w:rPr>
        <w:t xml:space="preserve"> state, and the basis of regime legitimacy in Vietnam. The Element argues that despite its 'one-party rule' label, the party-state apparatus that channels said rule has become fragmented. State-building during the </w:t>
      </w:r>
      <w:proofErr w:type="spellStart"/>
      <w:r w:rsidRPr="005665FF">
        <w:rPr>
          <w:rFonts w:ascii="Arial" w:eastAsia="Times New Roman" w:hAnsi="Arial" w:cs="Arial"/>
          <w:color w:val="000000"/>
          <w:sz w:val="24"/>
          <w:szCs w:val="24"/>
        </w:rPr>
        <w:t>đổi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mới</w:t>
      </w:r>
      <w:proofErr w:type="spellEnd"/>
      <w:r w:rsidRPr="005665FF">
        <w:rPr>
          <w:rFonts w:ascii="Arial" w:eastAsia="Times New Roman" w:hAnsi="Arial" w:cs="Arial"/>
          <w:color w:val="000000"/>
          <w:sz w:val="24"/>
          <w:szCs w:val="24"/>
        </w:rPr>
        <w:t xml:space="preserve"> period has involved negotiations and bargaining that redefine authority and power relations within the state apparatus. The party-state’s accountability projects are designed to target the specific self-aggrandizing tendencies of the state apparatus, its policies, and the abuse of state power. At the leadership level, the patterns of resource allocation underlying the </w:t>
      </w:r>
      <w:proofErr w:type="spellStart"/>
      <w:r w:rsidRPr="005665FF">
        <w:rPr>
          <w:rFonts w:ascii="Arial" w:eastAsia="Times New Roman" w:hAnsi="Arial" w:cs="Arial"/>
          <w:color w:val="000000"/>
          <w:sz w:val="24"/>
          <w:szCs w:val="24"/>
        </w:rPr>
        <w:t>đổi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mới</w:t>
      </w:r>
      <w:proofErr w:type="spellEnd"/>
      <w:r w:rsidRPr="005665FF">
        <w:rPr>
          <w:rFonts w:ascii="Arial" w:eastAsia="Times New Roman" w:hAnsi="Arial" w:cs="Arial"/>
          <w:color w:val="000000"/>
          <w:sz w:val="24"/>
          <w:szCs w:val="24"/>
        </w:rPr>
        <w:t xml:space="preserve"> growth model as well as the VCP’s cadre rotation approach have accommodated central and sub-national state elites across sectors and levels, helping shore up the legitimacy of the </w:t>
      </w:r>
      <w:proofErr w:type="spellStart"/>
      <w:r w:rsidRPr="005665FF">
        <w:rPr>
          <w:rFonts w:ascii="Arial" w:eastAsia="Times New Roman" w:hAnsi="Arial" w:cs="Arial"/>
          <w:color w:val="000000"/>
          <w:sz w:val="24"/>
          <w:szCs w:val="24"/>
        </w:rPr>
        <w:t>đổi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mới</w:t>
      </w:r>
      <w:proofErr w:type="spellEnd"/>
      <w:r w:rsidRPr="005665FF">
        <w:rPr>
          <w:rFonts w:ascii="Arial" w:eastAsia="Times New Roman" w:hAnsi="Arial" w:cs="Arial"/>
          <w:color w:val="000000"/>
          <w:sz w:val="24"/>
          <w:szCs w:val="24"/>
        </w:rPr>
        <w:t xml:space="preserve"> state in the eyes of the state elite. The combined factors of sustained economic growth, expansion of political space, accountability, and tolerance of small-scale public protests have been key in strengthening regime–society legitimization. [Vasavakul-2019.pdf].</w:t>
      </w:r>
    </w:p>
    <w:p w14:paraId="14F42E3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FE048A0"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769D5C60" w14:textId="1A4EEF74"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0DEDC6C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5EEF24A"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85" w:name="m_8873885906141426999__Toc2349090"/>
      <w:r w:rsidRPr="005665FF">
        <w:rPr>
          <w:rFonts w:ascii="Arial" w:eastAsia="Times New Roman" w:hAnsi="Arial" w:cs="Arial"/>
          <w:b/>
          <w:bCs/>
          <w:color w:val="FFFFFF"/>
          <w:kern w:val="36"/>
          <w:sz w:val="48"/>
          <w:szCs w:val="48"/>
        </w:rPr>
        <w:t>HEALTH CARE</w:t>
      </w:r>
      <w:bookmarkEnd w:id="85"/>
    </w:p>
    <w:p w14:paraId="6AD1FDB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4FF20A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b/>
          <w:bCs/>
          <w:color w:val="800000"/>
          <w:sz w:val="24"/>
          <w:szCs w:val="24"/>
        </w:rPr>
        <w:t>Can propensity score matching be applied to cross-sectional data to evaluate Community-Based</w:t>
      </w:r>
      <w:r w:rsidRPr="005665FF">
        <w:rPr>
          <w:rFonts w:ascii="Arial" w:eastAsia="Times New Roman" w:hAnsi="Arial" w:cs="Arial"/>
          <w:color w:val="000000"/>
          <w:sz w:val="24"/>
          <w:szCs w:val="24"/>
        </w:rPr>
        <w:t> </w:t>
      </w:r>
      <w:r w:rsidRPr="005665FF">
        <w:rPr>
          <w:rFonts w:ascii="Arial" w:eastAsia="Times New Roman" w:hAnsi="Arial" w:cs="Arial"/>
          <w:b/>
          <w:bCs/>
          <w:color w:val="800000"/>
          <w:sz w:val="24"/>
          <w:szCs w:val="24"/>
        </w:rPr>
        <w:t>Rehabilitation? Results of a survey implementing the WHO’s Community-Based Rehabilitation indicators in Vietnam.</w:t>
      </w:r>
    </w:p>
    <w:p w14:paraId="1A93C7E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Catherine Mason, Carla </w:t>
      </w:r>
      <w:proofErr w:type="spellStart"/>
      <w:r w:rsidRPr="005665FF">
        <w:rPr>
          <w:rFonts w:ascii="Arial" w:eastAsia="Times New Roman" w:hAnsi="Arial" w:cs="Arial"/>
          <w:color w:val="000000"/>
          <w:sz w:val="24"/>
          <w:szCs w:val="24"/>
        </w:rPr>
        <w:t>Sabariego</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Đoàn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Mạnh</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Thắng</w:t>
      </w:r>
      <w:proofErr w:type="spellEnd"/>
      <w:r w:rsidRPr="005665FF">
        <w:rPr>
          <w:rFonts w:ascii="Arial" w:eastAsia="Times New Roman" w:hAnsi="Arial" w:cs="Arial"/>
          <w:color w:val="000000"/>
          <w:sz w:val="24"/>
          <w:szCs w:val="24"/>
        </w:rPr>
        <w:t xml:space="preserve"> and </w:t>
      </w:r>
      <w:proofErr w:type="spellStart"/>
      <w:r w:rsidRPr="005665FF">
        <w:rPr>
          <w:rFonts w:ascii="Arial" w:eastAsia="Times New Roman" w:hAnsi="Arial" w:cs="Arial"/>
          <w:color w:val="000000"/>
          <w:sz w:val="24"/>
          <w:szCs w:val="24"/>
        </w:rPr>
        <w:t>Jörg</w:t>
      </w:r>
      <w:proofErr w:type="spellEnd"/>
      <w:r w:rsidRPr="005665FF">
        <w:rPr>
          <w:rFonts w:ascii="Arial" w:eastAsia="Times New Roman" w:hAnsi="Arial" w:cs="Arial"/>
          <w:color w:val="000000"/>
          <w:sz w:val="24"/>
          <w:szCs w:val="24"/>
        </w:rPr>
        <w:t xml:space="preserve"> Weber. BMJ Open, 2019, volume 9, number 1, pp. bmjopen-2018-022544.</w:t>
      </w:r>
    </w:p>
    <w:p w14:paraId="32680B8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42" w:tgtFrame="_blank" w:history="1">
        <w:r w:rsidRPr="005665FF">
          <w:rPr>
            <w:rFonts w:ascii="Arial" w:eastAsia="Times New Roman" w:hAnsi="Arial" w:cs="Arial"/>
            <w:color w:val="1155CC"/>
            <w:sz w:val="24"/>
            <w:szCs w:val="24"/>
            <w:u w:val="single"/>
          </w:rPr>
          <w:t>https://bmjopen.bmj.com/content/bmjopen/9/1/bmjopen-2018-022544.full.pdf</w:t>
        </w:r>
      </w:hyperlink>
      <w:r w:rsidRPr="005665FF">
        <w:rPr>
          <w:rFonts w:ascii="Arial" w:eastAsia="Times New Roman" w:hAnsi="Arial" w:cs="Arial"/>
          <w:color w:val="000000"/>
          <w:sz w:val="24"/>
          <w:szCs w:val="24"/>
        </w:rPr>
        <w:t>.</w:t>
      </w:r>
    </w:p>
    <w:p w14:paraId="5C903A5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41B5A8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Objectives Community-Based Rehabilitation (CBR) is a multi-sectoral approach working to </w:t>
      </w:r>
      <w:proofErr w:type="spellStart"/>
      <w:r w:rsidRPr="005665FF">
        <w:rPr>
          <w:rFonts w:ascii="Arial" w:eastAsia="Times New Roman" w:hAnsi="Arial" w:cs="Arial"/>
          <w:color w:val="000000"/>
          <w:sz w:val="24"/>
          <w:szCs w:val="24"/>
        </w:rPr>
        <w:t>equalise</w:t>
      </w:r>
      <w:proofErr w:type="spellEnd"/>
      <w:r w:rsidRPr="005665FF">
        <w:rPr>
          <w:rFonts w:ascii="Arial" w:eastAsia="Times New Roman" w:hAnsi="Arial" w:cs="Arial"/>
          <w:color w:val="000000"/>
          <w:sz w:val="24"/>
          <w:szCs w:val="24"/>
        </w:rPr>
        <w:t xml:space="preserve"> opportunities and include people with disabilities in all aspects of life. The complexity of CBR and often limited resources lead to challenges when attempting to quantify its effectiveness, with </w:t>
      </w:r>
      <w:proofErr w:type="spellStart"/>
      <w:r w:rsidRPr="005665FF">
        <w:rPr>
          <w:rFonts w:ascii="Arial" w:eastAsia="Times New Roman" w:hAnsi="Arial" w:cs="Arial"/>
          <w:color w:val="000000"/>
          <w:sz w:val="24"/>
          <w:szCs w:val="24"/>
        </w:rPr>
        <w:t>randomisation</w:t>
      </w:r>
      <w:proofErr w:type="spellEnd"/>
      <w:r w:rsidRPr="005665FF">
        <w:rPr>
          <w:rFonts w:ascii="Arial" w:eastAsia="Times New Roman" w:hAnsi="Arial" w:cs="Arial"/>
          <w:color w:val="000000"/>
          <w:sz w:val="24"/>
          <w:szCs w:val="24"/>
        </w:rPr>
        <w:t xml:space="preserve"> and longitudinal data rarely possible. Statistical methods, such as propensity score matching (PSM), offer an alternative approach to evaluate a treatment when </w:t>
      </w:r>
      <w:proofErr w:type="spellStart"/>
      <w:r w:rsidRPr="005665FF">
        <w:rPr>
          <w:rFonts w:ascii="Arial" w:eastAsia="Times New Roman" w:hAnsi="Arial" w:cs="Arial"/>
          <w:color w:val="000000"/>
          <w:sz w:val="24"/>
          <w:szCs w:val="24"/>
        </w:rPr>
        <w:t>randomisation</w:t>
      </w:r>
      <w:proofErr w:type="spellEnd"/>
      <w:r w:rsidRPr="005665FF">
        <w:rPr>
          <w:rFonts w:ascii="Arial" w:eastAsia="Times New Roman" w:hAnsi="Arial" w:cs="Arial"/>
          <w:color w:val="000000"/>
          <w:sz w:val="24"/>
          <w:szCs w:val="24"/>
        </w:rPr>
        <w:t xml:space="preserve"> is not feasible. The </w:t>
      </w:r>
      <w:r w:rsidRPr="005665FF">
        <w:rPr>
          <w:rFonts w:ascii="Arial" w:eastAsia="Times New Roman" w:hAnsi="Arial" w:cs="Arial"/>
          <w:color w:val="000000"/>
          <w:sz w:val="24"/>
          <w:szCs w:val="24"/>
        </w:rPr>
        <w:lastRenderedPageBreak/>
        <w:t>aim of this study is to examine whether PSM can be an effective method to facilitate evaluations of results in CBR when data are cross-</w:t>
      </w:r>
      <w:proofErr w:type="spellStart"/>
      <w:proofErr w:type="gramStart"/>
      <w:r w:rsidRPr="005665FF">
        <w:rPr>
          <w:rFonts w:ascii="Arial" w:eastAsia="Times New Roman" w:hAnsi="Arial" w:cs="Arial"/>
          <w:color w:val="000000"/>
          <w:sz w:val="24"/>
          <w:szCs w:val="24"/>
        </w:rPr>
        <w:t>sectional.Design</w:t>
      </w:r>
      <w:proofErr w:type="spellEnd"/>
      <w:proofErr w:type="gramEnd"/>
      <w:r w:rsidRPr="005665FF">
        <w:rPr>
          <w:rFonts w:ascii="Arial" w:eastAsia="Times New Roman" w:hAnsi="Arial" w:cs="Arial"/>
          <w:color w:val="000000"/>
          <w:sz w:val="24"/>
          <w:szCs w:val="24"/>
        </w:rPr>
        <w:t xml:space="preserve"> Cross-sectional </w:t>
      </w:r>
      <w:proofErr w:type="spellStart"/>
      <w:r w:rsidRPr="005665FF">
        <w:rPr>
          <w:rFonts w:ascii="Arial" w:eastAsia="Times New Roman" w:hAnsi="Arial" w:cs="Arial"/>
          <w:color w:val="000000"/>
          <w:sz w:val="24"/>
          <w:szCs w:val="24"/>
        </w:rPr>
        <w:t>survey.Setting</w:t>
      </w:r>
      <w:proofErr w:type="spellEnd"/>
      <w:r w:rsidRPr="005665FF">
        <w:rPr>
          <w:rFonts w:ascii="Arial" w:eastAsia="Times New Roman" w:hAnsi="Arial" w:cs="Arial"/>
          <w:color w:val="000000"/>
          <w:sz w:val="24"/>
          <w:szCs w:val="24"/>
        </w:rPr>
        <w:t xml:space="preserve"> and participants Data were collected using the WHO’s CBR Indicators in Vietnam, with treatment assignment (participating in CBR or not) determined by province of residence. 298 participants were selected through government </w:t>
      </w:r>
      <w:proofErr w:type="spellStart"/>
      <w:proofErr w:type="gramStart"/>
      <w:r w:rsidRPr="005665FF">
        <w:rPr>
          <w:rFonts w:ascii="Arial" w:eastAsia="Times New Roman" w:hAnsi="Arial" w:cs="Arial"/>
          <w:color w:val="000000"/>
          <w:sz w:val="24"/>
          <w:szCs w:val="24"/>
        </w:rPr>
        <w:t>records.Results</w:t>
      </w:r>
      <w:proofErr w:type="spellEnd"/>
      <w:proofErr w:type="gramEnd"/>
      <w:r w:rsidRPr="005665FF">
        <w:rPr>
          <w:rFonts w:ascii="Arial" w:eastAsia="Times New Roman" w:hAnsi="Arial" w:cs="Arial"/>
          <w:color w:val="000000"/>
          <w:sz w:val="24"/>
          <w:szCs w:val="24"/>
        </w:rPr>
        <w:t xml:space="preserve"> PSM was conducted using one-to-one nearest </w:t>
      </w:r>
      <w:proofErr w:type="spellStart"/>
      <w:r w:rsidRPr="005665FF">
        <w:rPr>
          <w:rFonts w:ascii="Arial" w:eastAsia="Times New Roman" w:hAnsi="Arial" w:cs="Arial"/>
          <w:color w:val="000000"/>
          <w:sz w:val="24"/>
          <w:szCs w:val="24"/>
        </w:rPr>
        <w:t>neighbour</w:t>
      </w:r>
      <w:proofErr w:type="spellEnd"/>
      <w:r w:rsidRPr="005665FF">
        <w:rPr>
          <w:rFonts w:ascii="Arial" w:eastAsia="Times New Roman" w:hAnsi="Arial" w:cs="Arial"/>
          <w:color w:val="000000"/>
          <w:sz w:val="24"/>
          <w:szCs w:val="24"/>
        </w:rPr>
        <w:t xml:space="preserve"> method on 10 covariates. In the unmatched sample, significant differences between groups were found for six of the 10 covariates. PSM successfully adjusted for bias in all covariates in the matched sample (74 matched pairs). A paired t-test compared the outcome of ‘community inclusion’ (a score based on selected indicators) between CBR and non-CBR participants for both the matched and unmatched samples, with CBR participants found to have significantly worse community inclusion scores (mean=17.86, SD=6.30, 95% CI 16.45 to 19.32) than non-CBR participants (mean=20.93, SD=6.16, 95% CI 19.50 to 22.35); t(73)=3.068, p=0.001. This result did not differ between the matched and unmatched </w:t>
      </w:r>
      <w:proofErr w:type="spellStart"/>
      <w:proofErr w:type="gramStart"/>
      <w:r w:rsidRPr="005665FF">
        <w:rPr>
          <w:rFonts w:ascii="Arial" w:eastAsia="Times New Roman" w:hAnsi="Arial" w:cs="Arial"/>
          <w:color w:val="000000"/>
          <w:sz w:val="24"/>
          <w:szCs w:val="24"/>
        </w:rPr>
        <w:t>samples.Conclusion</w:t>
      </w:r>
      <w:proofErr w:type="spellEnd"/>
      <w:proofErr w:type="gramEnd"/>
      <w:r w:rsidRPr="005665FF">
        <w:rPr>
          <w:rFonts w:ascii="Arial" w:eastAsia="Times New Roman" w:hAnsi="Arial" w:cs="Arial"/>
          <w:color w:val="000000"/>
          <w:sz w:val="24"/>
          <w:szCs w:val="24"/>
        </w:rPr>
        <w:t xml:space="preserve"> PSM successfully reduced bias between groups, though its application did not affect the tested outcome. PSM should be considered when </w:t>
      </w:r>
      <w:proofErr w:type="spellStart"/>
      <w:r w:rsidRPr="005665FF">
        <w:rPr>
          <w:rFonts w:ascii="Arial" w:eastAsia="Times New Roman" w:hAnsi="Arial" w:cs="Arial"/>
          <w:color w:val="000000"/>
          <w:sz w:val="24"/>
          <w:szCs w:val="24"/>
        </w:rPr>
        <w:t>analysing</w:t>
      </w:r>
      <w:proofErr w:type="spellEnd"/>
      <w:r w:rsidRPr="005665FF">
        <w:rPr>
          <w:rFonts w:ascii="Arial" w:eastAsia="Times New Roman" w:hAnsi="Arial" w:cs="Arial"/>
          <w:color w:val="000000"/>
          <w:sz w:val="24"/>
          <w:szCs w:val="24"/>
        </w:rPr>
        <w:t xml:space="preserve"> cross-sectional CBR data, especially for international comparisons where differences between populations may be greater.</w:t>
      </w:r>
    </w:p>
    <w:p w14:paraId="486C99A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94E6BE4"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86" w:name="m_8873885906141426999__Toc2349091"/>
      <w:r w:rsidRPr="005665FF">
        <w:rPr>
          <w:rFonts w:ascii="Calibri" w:eastAsia="Times New Roman" w:hAnsi="Calibri" w:cs="Calibri"/>
          <w:b/>
          <w:bCs/>
          <w:color w:val="800000"/>
        </w:rPr>
        <w:t>High level of multidrug-resistant Escherichia coli in young dairy calves in southern Vietnam.</w:t>
      </w:r>
      <w:bookmarkEnd w:id="86"/>
    </w:p>
    <w:p w14:paraId="208DB85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Bui Phan Thu Hang, </w:t>
      </w:r>
      <w:proofErr w:type="spellStart"/>
      <w:r w:rsidRPr="005665FF">
        <w:rPr>
          <w:rFonts w:ascii="Arial" w:eastAsia="Times New Roman" w:hAnsi="Arial" w:cs="Arial"/>
          <w:color w:val="000000"/>
          <w:sz w:val="24"/>
          <w:szCs w:val="24"/>
        </w:rPr>
        <w:t>Ewa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Wredle</w:t>
      </w:r>
      <w:proofErr w:type="spellEnd"/>
      <w:r w:rsidRPr="005665FF">
        <w:rPr>
          <w:rFonts w:ascii="Arial" w:eastAsia="Times New Roman" w:hAnsi="Arial" w:cs="Arial"/>
          <w:color w:val="000000"/>
          <w:sz w:val="24"/>
          <w:szCs w:val="24"/>
        </w:rPr>
        <w:t xml:space="preserve">, Stefan </w:t>
      </w:r>
      <w:proofErr w:type="spellStart"/>
      <w:r w:rsidRPr="005665FF">
        <w:rPr>
          <w:rFonts w:ascii="Arial" w:eastAsia="Times New Roman" w:hAnsi="Arial" w:cs="Arial"/>
          <w:color w:val="000000"/>
          <w:sz w:val="24"/>
          <w:szCs w:val="24"/>
        </w:rPr>
        <w:t>Börjesson</w:t>
      </w:r>
      <w:proofErr w:type="spellEnd"/>
      <w:r w:rsidRPr="005665FF">
        <w:rPr>
          <w:rFonts w:ascii="Arial" w:eastAsia="Times New Roman" w:hAnsi="Arial" w:cs="Arial"/>
          <w:color w:val="000000"/>
          <w:sz w:val="24"/>
          <w:szCs w:val="24"/>
        </w:rPr>
        <w:t xml:space="preserve">, Kerstin </w:t>
      </w:r>
      <w:proofErr w:type="spellStart"/>
      <w:r w:rsidRPr="005665FF">
        <w:rPr>
          <w:rFonts w:ascii="Arial" w:eastAsia="Times New Roman" w:hAnsi="Arial" w:cs="Arial"/>
          <w:color w:val="000000"/>
          <w:sz w:val="24"/>
          <w:szCs w:val="24"/>
        </w:rPr>
        <w:t>Svennersten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Sjaunja</w:t>
      </w:r>
      <w:proofErr w:type="spellEnd"/>
      <w:r w:rsidRPr="005665FF">
        <w:rPr>
          <w:rFonts w:ascii="Arial" w:eastAsia="Times New Roman" w:hAnsi="Arial" w:cs="Arial"/>
          <w:color w:val="000000"/>
          <w:sz w:val="24"/>
          <w:szCs w:val="24"/>
        </w:rPr>
        <w:t xml:space="preserve">, Johan </w:t>
      </w:r>
      <w:proofErr w:type="spellStart"/>
      <w:r w:rsidRPr="005665FF">
        <w:rPr>
          <w:rFonts w:ascii="Arial" w:eastAsia="Times New Roman" w:hAnsi="Arial" w:cs="Arial"/>
          <w:color w:val="000000"/>
          <w:sz w:val="24"/>
          <w:szCs w:val="24"/>
        </w:rPr>
        <w:t>Dicksved</w:t>
      </w:r>
      <w:proofErr w:type="spellEnd"/>
      <w:r w:rsidRPr="005665FF">
        <w:rPr>
          <w:rFonts w:ascii="Arial" w:eastAsia="Times New Roman" w:hAnsi="Arial" w:cs="Arial"/>
          <w:color w:val="000000"/>
          <w:sz w:val="24"/>
          <w:szCs w:val="24"/>
        </w:rPr>
        <w:t xml:space="preserve"> and others. Tropical Animal Health and Production, 2019.</w:t>
      </w:r>
    </w:p>
    <w:p w14:paraId="77E6738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43" w:tgtFrame="_blank" w:history="1">
        <w:r w:rsidRPr="005665FF">
          <w:rPr>
            <w:rFonts w:ascii="Arial" w:eastAsia="Times New Roman" w:hAnsi="Arial" w:cs="Arial"/>
            <w:color w:val="1155CC"/>
            <w:sz w:val="24"/>
            <w:szCs w:val="24"/>
            <w:u w:val="single"/>
          </w:rPr>
          <w:t>https://doi.org/10.1007/s11250-019-01820-6</w:t>
        </w:r>
      </w:hyperlink>
      <w:r w:rsidRPr="005665FF">
        <w:rPr>
          <w:rFonts w:ascii="Arial" w:eastAsia="Times New Roman" w:hAnsi="Arial" w:cs="Arial"/>
          <w:color w:val="000000"/>
          <w:sz w:val="24"/>
          <w:szCs w:val="24"/>
        </w:rPr>
        <w:t>.</w:t>
      </w:r>
    </w:p>
    <w:p w14:paraId="5EEB785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A7430D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study investigated the occurrence of antimicrobial-resistant Escherichia coli in dairy calves in southern Vietnam. Fecal samples were taken directly from the rectum of 84 calves from 41 smallholder dairy farms, when newborn and at 14 days of age for isolation of E. coli. Escherichia coli strains were isolated from 144 of the 168 fecal samples tested. Of the 144 E. coli isolates, 40% were found to be susceptible to all 12 antimicrobial drugs tested and 53% of the E. coli isolates were resistant to at least three antimicrobials. Calves were colonized with antimicrobial-resistant E. coli already on the day of birth. Resistance to tetracycline was most common, followed by resistance to sulfamethoxazole, ampicillin, trimethoprim, and ciprofloxacin. Four isolates carried a gene encoding for extended-spectrum cephalosporinases (ESC), and these genes belonged to </w:t>
      </w:r>
      <w:proofErr w:type="spellStart"/>
      <w:r w:rsidRPr="005665FF">
        <w:rPr>
          <w:rFonts w:ascii="Arial" w:eastAsia="Times New Roman" w:hAnsi="Arial" w:cs="Arial"/>
          <w:color w:val="000000"/>
          <w:sz w:val="24"/>
          <w:szCs w:val="24"/>
        </w:rPr>
        <w:t>blaCTX</w:t>
      </w:r>
      <w:proofErr w:type="spellEnd"/>
      <w:r w:rsidRPr="005665FF">
        <w:rPr>
          <w:rFonts w:ascii="Arial" w:eastAsia="Times New Roman" w:hAnsi="Arial" w:cs="Arial"/>
          <w:color w:val="000000"/>
          <w:sz w:val="24"/>
          <w:szCs w:val="24"/>
        </w:rPr>
        <w:t xml:space="preserve">-M group 1 (2 isolates), </w:t>
      </w:r>
      <w:proofErr w:type="spellStart"/>
      <w:r w:rsidRPr="005665FF">
        <w:rPr>
          <w:rFonts w:ascii="Arial" w:eastAsia="Times New Roman" w:hAnsi="Arial" w:cs="Arial"/>
          <w:color w:val="000000"/>
          <w:sz w:val="24"/>
          <w:szCs w:val="24"/>
        </w:rPr>
        <w:t>blaCTX</w:t>
      </w:r>
      <w:proofErr w:type="spellEnd"/>
      <w:r w:rsidRPr="005665FF">
        <w:rPr>
          <w:rFonts w:ascii="Arial" w:eastAsia="Times New Roman" w:hAnsi="Arial" w:cs="Arial"/>
          <w:color w:val="000000"/>
          <w:sz w:val="24"/>
          <w:szCs w:val="24"/>
        </w:rPr>
        <w:t xml:space="preserve">-M group 9 (1 isolate), and blaCMY-2 (1 isolate). Thirty-three isolates had a plasmid-mediated quinolone resistance (PMQR) phenotype, and 30 of these carried the </w:t>
      </w:r>
      <w:proofErr w:type="spellStart"/>
      <w:r w:rsidRPr="005665FF">
        <w:rPr>
          <w:rFonts w:ascii="Arial" w:eastAsia="Times New Roman" w:hAnsi="Arial" w:cs="Arial"/>
          <w:color w:val="000000"/>
          <w:sz w:val="24"/>
          <w:szCs w:val="24"/>
        </w:rPr>
        <w:t>qnrS</w:t>
      </w:r>
      <w:proofErr w:type="spellEnd"/>
      <w:r w:rsidRPr="005665FF">
        <w:rPr>
          <w:rFonts w:ascii="Arial" w:eastAsia="Times New Roman" w:hAnsi="Arial" w:cs="Arial"/>
          <w:color w:val="000000"/>
          <w:sz w:val="24"/>
          <w:szCs w:val="24"/>
        </w:rPr>
        <w:t xml:space="preserve"> gene. These results are of importance for management routines of dairy cattle to prevent the spread of antimicrobial resistance.</w:t>
      </w:r>
    </w:p>
    <w:p w14:paraId="268196E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1A3E5BB" w14:textId="77777777" w:rsidR="00B31078" w:rsidRPr="005665FF" w:rsidRDefault="005665FF" w:rsidP="00B31078">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lastRenderedPageBreak/>
        <w:t>     </w:t>
      </w:r>
      <w:r w:rsidR="00B31078" w:rsidRPr="005665FF">
        <w:rPr>
          <w:rFonts w:ascii="Arial" w:eastAsia="Times New Roman" w:hAnsi="Arial" w:cs="Arial"/>
          <w:color w:val="000000"/>
          <w:sz w:val="24"/>
          <w:szCs w:val="24"/>
        </w:rPr>
        <w:t> </w:t>
      </w:r>
      <w:r w:rsidR="00B31078">
        <w:rPr>
          <w:rFonts w:ascii="Arial" w:eastAsia="Times New Roman" w:hAnsi="Arial" w:cs="Arial"/>
          <w:color w:val="1155CC"/>
          <w:sz w:val="24"/>
          <w:szCs w:val="24"/>
          <w:u w:val="single"/>
        </w:rPr>
        <w:fldChar w:fldCharType="begin"/>
      </w:r>
      <w:r w:rsidR="00B31078">
        <w:rPr>
          <w:rFonts w:ascii="Arial" w:eastAsia="Times New Roman" w:hAnsi="Arial" w:cs="Arial"/>
          <w:color w:val="1155CC"/>
          <w:sz w:val="24"/>
          <w:szCs w:val="24"/>
          <w:u w:val="single"/>
        </w:rPr>
        <w:instrText xml:space="preserve"> HYPERLINK  \l "_top" </w:instrText>
      </w:r>
      <w:r w:rsidR="00B31078">
        <w:rPr>
          <w:rFonts w:ascii="Arial" w:eastAsia="Times New Roman" w:hAnsi="Arial" w:cs="Arial"/>
          <w:color w:val="1155CC"/>
          <w:sz w:val="24"/>
          <w:szCs w:val="24"/>
          <w:u w:val="single"/>
        </w:rPr>
      </w:r>
      <w:r w:rsidR="00B31078">
        <w:rPr>
          <w:rFonts w:ascii="Arial" w:eastAsia="Times New Roman" w:hAnsi="Arial" w:cs="Arial"/>
          <w:color w:val="1155CC"/>
          <w:sz w:val="24"/>
          <w:szCs w:val="24"/>
          <w:u w:val="single"/>
        </w:rPr>
        <w:fldChar w:fldCharType="separate"/>
      </w:r>
      <w:r w:rsidR="00B31078" w:rsidRPr="005665FF">
        <w:rPr>
          <w:rStyle w:val="Hyperlink"/>
          <w:rFonts w:ascii="Arial" w:eastAsia="Times New Roman" w:hAnsi="Arial" w:cs="Arial"/>
          <w:sz w:val="24"/>
          <w:szCs w:val="24"/>
        </w:rPr>
        <w:t>Back to top</w:t>
      </w:r>
    </w:p>
    <w:p w14:paraId="5486A848" w14:textId="77B0F74B" w:rsidR="005665FF" w:rsidRPr="005665FF" w:rsidRDefault="00B31078" w:rsidP="00B31078">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4CF2AAD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4920940"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87" w:name="m_8873885906141426999__Toc2349092"/>
      <w:r w:rsidRPr="005665FF">
        <w:rPr>
          <w:rFonts w:ascii="Calibri" w:eastAsia="Times New Roman" w:hAnsi="Calibri" w:cs="Calibri"/>
          <w:b/>
          <w:bCs/>
          <w:color w:val="800000"/>
        </w:rPr>
        <w:t>A General Pathway Model for Improving Health Disparities: Lessons from Community and Cultural Involvement in Improving Cervical Cancer Screening in Vietnamese Women.</w:t>
      </w:r>
      <w:bookmarkEnd w:id="87"/>
    </w:p>
    <w:p w14:paraId="4179A6B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Richard </w:t>
      </w:r>
      <w:proofErr w:type="spellStart"/>
      <w:r w:rsidRPr="005665FF">
        <w:rPr>
          <w:rFonts w:ascii="Arial" w:eastAsia="Times New Roman" w:hAnsi="Arial" w:cs="Arial"/>
          <w:color w:val="000000"/>
          <w:sz w:val="24"/>
          <w:szCs w:val="24"/>
        </w:rPr>
        <w:t>Kones</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Umme</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Rumana</w:t>
      </w:r>
      <w:proofErr w:type="spellEnd"/>
      <w:r w:rsidRPr="005665FF">
        <w:rPr>
          <w:rFonts w:ascii="Arial" w:eastAsia="Times New Roman" w:hAnsi="Arial" w:cs="Arial"/>
          <w:color w:val="000000"/>
          <w:sz w:val="24"/>
          <w:szCs w:val="24"/>
        </w:rPr>
        <w:t xml:space="preserve"> and Fauzia </w:t>
      </w:r>
      <w:proofErr w:type="spellStart"/>
      <w:r w:rsidRPr="005665FF">
        <w:rPr>
          <w:rFonts w:ascii="Arial" w:eastAsia="Times New Roman" w:hAnsi="Arial" w:cs="Arial"/>
          <w:color w:val="000000"/>
          <w:sz w:val="24"/>
          <w:szCs w:val="24"/>
        </w:rPr>
        <w:t>Arain</w:t>
      </w:r>
      <w:proofErr w:type="spellEnd"/>
      <w:r w:rsidRPr="005665FF">
        <w:rPr>
          <w:rFonts w:ascii="Arial" w:eastAsia="Times New Roman" w:hAnsi="Arial" w:cs="Arial"/>
          <w:color w:val="000000"/>
          <w:sz w:val="24"/>
          <w:szCs w:val="24"/>
        </w:rPr>
        <w:t>. Journal of clinical medicine, 2019.</w:t>
      </w:r>
    </w:p>
    <w:p w14:paraId="72FE1C8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999B45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Objective: Chronic diseases have become dominant in the global health landscape. Despite remarkable advances in basic science, pharmacology, surgery, and technology, progress in lifestyle improvements, now considered essential, has been disappointing. Patient adherence to medications and other instructions play the greatest role in individual outcome shortfalls. Classically medicine has approached management using a high-risk model, targeting clinical manifestations of disease with progressively intensive therapies, in contrast with population-based models. In an effort to identify effectiveness among the many models available, the “pathways model” is reevaluated. Methods: Relying upon secondary data from prior studies in which Papanicolaou (Pap) test utilization was successfully improved, a “pathway model” is qualitatively reexamined in which characteristics of patients, providers, and the health system—as impacted by culture, beliefs, values, and habits—are acknowledged and incorporated by community resources into treatment plans. In so doing, health disparities are also addressed. Observations: The culturally inclusive pathways model using immersion community-based participation was successful in modifying behaviors when applied to a high-risk population in great need of improving Pap test adherence. Conclusions: In populations characterized by recognized cultural barriers contributing to low adherence, the pathways model may improve chronic disease outcomes. This model emphasizes a high degree of immersion within a culture and community as vehicles to improve patient behavior and address inequities. Central features are concordant with current concepts in guidelines, scientific statements, manuals, and advisories concerning the conduct of community-based research and social determinants of health. The pathways model deserves consideration for use in other chronic illnesses, such as cardiometabolic disease.</w:t>
      </w:r>
    </w:p>
    <w:p w14:paraId="38A8887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488C1D5"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88" w:name="m_8873885906141426999__Toc2349093"/>
      <w:proofErr w:type="spellStart"/>
      <w:r w:rsidRPr="005665FF">
        <w:rPr>
          <w:rFonts w:ascii="Calibri" w:eastAsia="Times New Roman" w:hAnsi="Calibri" w:cs="Calibri"/>
          <w:b/>
          <w:bCs/>
          <w:color w:val="800000"/>
        </w:rPr>
        <w:t>Optimising</w:t>
      </w:r>
      <w:proofErr w:type="spellEnd"/>
      <w:r w:rsidRPr="005665FF">
        <w:rPr>
          <w:rFonts w:ascii="Calibri" w:eastAsia="Times New Roman" w:hAnsi="Calibri" w:cs="Calibri"/>
          <w:b/>
          <w:bCs/>
          <w:color w:val="800000"/>
        </w:rPr>
        <w:t xml:space="preserve"> the detectability of H5N1 and H5N6 highly pathogenic avian influenza viruses in Vietnamese live-bird markets.</w:t>
      </w:r>
      <w:bookmarkEnd w:id="88"/>
    </w:p>
    <w:p w14:paraId="7D80D87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Timothée</w:t>
      </w:r>
      <w:proofErr w:type="spellEnd"/>
      <w:r w:rsidRPr="005665FF">
        <w:rPr>
          <w:rFonts w:ascii="Arial" w:eastAsia="Times New Roman" w:hAnsi="Arial" w:cs="Arial"/>
          <w:color w:val="000000"/>
          <w:sz w:val="24"/>
          <w:szCs w:val="24"/>
        </w:rPr>
        <w:t xml:space="preserve"> Vergne, Anne Meyer, Pham Thanh Long, </w:t>
      </w:r>
      <w:proofErr w:type="spellStart"/>
      <w:r w:rsidRPr="005665FF">
        <w:rPr>
          <w:rFonts w:ascii="Arial" w:eastAsia="Times New Roman" w:hAnsi="Arial" w:cs="Arial"/>
          <w:color w:val="000000"/>
          <w:sz w:val="24"/>
          <w:szCs w:val="24"/>
        </w:rPr>
        <w:t>Doaa</w:t>
      </w:r>
      <w:proofErr w:type="spellEnd"/>
      <w:r w:rsidRPr="005665FF">
        <w:rPr>
          <w:rFonts w:ascii="Arial" w:eastAsia="Times New Roman" w:hAnsi="Arial" w:cs="Arial"/>
          <w:color w:val="000000"/>
          <w:sz w:val="24"/>
          <w:szCs w:val="24"/>
        </w:rPr>
        <w:t xml:space="preserve"> A. </w:t>
      </w:r>
      <w:proofErr w:type="spellStart"/>
      <w:r w:rsidRPr="005665FF">
        <w:rPr>
          <w:rFonts w:ascii="Arial" w:eastAsia="Times New Roman" w:hAnsi="Arial" w:cs="Arial"/>
          <w:color w:val="000000"/>
          <w:sz w:val="24"/>
          <w:szCs w:val="24"/>
        </w:rPr>
        <w:t>Elkholly</w:t>
      </w:r>
      <w:proofErr w:type="spellEnd"/>
      <w:r w:rsidRPr="005665FF">
        <w:rPr>
          <w:rFonts w:ascii="Arial" w:eastAsia="Times New Roman" w:hAnsi="Arial" w:cs="Arial"/>
          <w:color w:val="000000"/>
          <w:sz w:val="24"/>
          <w:szCs w:val="24"/>
        </w:rPr>
        <w:t>, Ken Inui and others. Scientific Reports, 2019, volume 9, number 1, p. 1031.</w:t>
      </w:r>
    </w:p>
    <w:p w14:paraId="52FDA0D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44" w:tgtFrame="_blank" w:history="1">
        <w:r w:rsidRPr="005665FF">
          <w:rPr>
            <w:rFonts w:ascii="Arial" w:eastAsia="Times New Roman" w:hAnsi="Arial" w:cs="Arial"/>
            <w:color w:val="1155CC"/>
            <w:sz w:val="24"/>
            <w:szCs w:val="24"/>
            <w:u w:val="single"/>
          </w:rPr>
          <w:t>https://doi.org/10.1038/s41598-018-37616-1</w:t>
        </w:r>
      </w:hyperlink>
      <w:r w:rsidRPr="005665FF">
        <w:rPr>
          <w:rFonts w:ascii="Arial" w:eastAsia="Times New Roman" w:hAnsi="Arial" w:cs="Arial"/>
          <w:color w:val="000000"/>
          <w:sz w:val="24"/>
          <w:szCs w:val="24"/>
        </w:rPr>
        <w:t>.</w:t>
      </w:r>
    </w:p>
    <w:p w14:paraId="670FBD0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61D4AC5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Live bird markets (LBMs) are major targets for avian influenza virus (AIV) surveillance </w:t>
      </w:r>
      <w:proofErr w:type="spellStart"/>
      <w:r w:rsidRPr="005665FF">
        <w:rPr>
          <w:rFonts w:ascii="Arial" w:eastAsia="Times New Roman" w:hAnsi="Arial" w:cs="Arial"/>
          <w:color w:val="000000"/>
          <w:sz w:val="24"/>
          <w:szCs w:val="24"/>
        </w:rPr>
        <w:t>programmes</w:t>
      </w:r>
      <w:proofErr w:type="spellEnd"/>
      <w:r w:rsidRPr="005665FF">
        <w:rPr>
          <w:rFonts w:ascii="Arial" w:eastAsia="Times New Roman" w:hAnsi="Arial" w:cs="Arial"/>
          <w:color w:val="000000"/>
          <w:sz w:val="24"/>
          <w:szCs w:val="24"/>
        </w:rPr>
        <w:t xml:space="preserve">. While sampling the LBM environment has become a widely used alternative to the </w:t>
      </w:r>
      <w:proofErr w:type="spellStart"/>
      <w:r w:rsidRPr="005665FF">
        <w:rPr>
          <w:rFonts w:ascii="Arial" w:eastAsia="Times New Roman" w:hAnsi="Arial" w:cs="Arial"/>
          <w:color w:val="000000"/>
          <w:sz w:val="24"/>
          <w:szCs w:val="24"/>
        </w:rPr>
        <w:t>labour-intensive</w:t>
      </w:r>
      <w:proofErr w:type="spellEnd"/>
      <w:r w:rsidRPr="005665FF">
        <w:rPr>
          <w:rFonts w:ascii="Arial" w:eastAsia="Times New Roman" w:hAnsi="Arial" w:cs="Arial"/>
          <w:color w:val="000000"/>
          <w:sz w:val="24"/>
          <w:szCs w:val="24"/>
        </w:rPr>
        <w:t xml:space="preserve"> sampling of live poultry, the design of surveillance </w:t>
      </w:r>
      <w:proofErr w:type="spellStart"/>
      <w:r w:rsidRPr="005665FF">
        <w:rPr>
          <w:rFonts w:ascii="Arial" w:eastAsia="Times New Roman" w:hAnsi="Arial" w:cs="Arial"/>
          <w:color w:val="000000"/>
          <w:sz w:val="24"/>
          <w:szCs w:val="24"/>
        </w:rPr>
        <w:t>programmes</w:t>
      </w:r>
      <w:proofErr w:type="spellEnd"/>
      <w:r w:rsidRPr="005665FF">
        <w:rPr>
          <w:rFonts w:ascii="Arial" w:eastAsia="Times New Roman" w:hAnsi="Arial" w:cs="Arial"/>
          <w:color w:val="000000"/>
          <w:sz w:val="24"/>
          <w:szCs w:val="24"/>
        </w:rPr>
        <w:t xml:space="preserve"> and the interpretation of their results are compromised by the lack of knowledge about the effectiveness of these sampling strategies. We used latent class models and a unique empirical dataset collated in Vietnamese LBMs to estimate the sensitivity and specificity of five different sample types for detecting AIVs subtypes H5N1 and H5N6: oropharyngeal duck samples, solid and liquid wastes, poultry drinking water and </w:t>
      </w:r>
      <w:proofErr w:type="spellStart"/>
      <w:r w:rsidRPr="005665FF">
        <w:rPr>
          <w:rFonts w:ascii="Arial" w:eastAsia="Times New Roman" w:hAnsi="Arial" w:cs="Arial"/>
          <w:color w:val="000000"/>
          <w:sz w:val="24"/>
          <w:szCs w:val="24"/>
        </w:rPr>
        <w:t>faeces</w:t>
      </w:r>
      <w:proofErr w:type="spellEnd"/>
      <w:r w:rsidRPr="005665FF">
        <w:rPr>
          <w:rFonts w:ascii="Arial" w:eastAsia="Times New Roman" w:hAnsi="Arial" w:cs="Arial"/>
          <w:color w:val="000000"/>
          <w:sz w:val="24"/>
          <w:szCs w:val="24"/>
        </w:rPr>
        <w:t>. Results suggest that the sensitivity of environmental samples for detecting H5N1 viruses is equivalent to that of oropharyngeal duck samples; however, taking oropharyngeal duck samples was estimated to be more effective in detecting H5N6 viruses than taking any of the four environmental samples. This study also stressed that the specificity of the current surveillance strategy in LBMs was not optimal leading to some false positive LBMs. Using simulations, we identified 42 sampling strategies more parsimonious than the current strategy and expected to be highly sensitive for both viruses at the LBM level. All of these strategies involved the collection of both environmental and oropharyngeal duck samples.</w:t>
      </w:r>
    </w:p>
    <w:p w14:paraId="36E4287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D7033DE"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69F08902" w14:textId="748284E4"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4BC50BA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15C33FF"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89" w:name="m_8873885906141426999__Toc2349094"/>
      <w:r w:rsidRPr="005665FF">
        <w:rPr>
          <w:rFonts w:ascii="Calibri" w:eastAsia="Times New Roman" w:hAnsi="Calibri" w:cs="Calibri"/>
          <w:b/>
          <w:bCs/>
          <w:color w:val="800000"/>
        </w:rPr>
        <w:t>Heterogeneity in the effect of mid-childhood height and weight gain on human capital at age 14-15 years: Evidence from Ethiopia, India, Peru, and Vietnam.</w:t>
      </w:r>
      <w:bookmarkEnd w:id="89"/>
    </w:p>
    <w:p w14:paraId="294397E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Kaushalendra</w:t>
      </w:r>
      <w:proofErr w:type="spellEnd"/>
      <w:r w:rsidRPr="005665FF">
        <w:rPr>
          <w:rFonts w:ascii="Arial" w:eastAsia="Times New Roman" w:hAnsi="Arial" w:cs="Arial"/>
          <w:color w:val="000000"/>
          <w:sz w:val="24"/>
          <w:szCs w:val="24"/>
        </w:rPr>
        <w:t xml:space="preserve"> Kumar, Santosh Kumar, Ashish Singh, Faujdar Ram and Abhishek Singh. PLOS ONE, 2019, volume 14, number 2, p. e0212783.</w:t>
      </w:r>
    </w:p>
    <w:p w14:paraId="2128343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45" w:tgtFrame="_blank" w:history="1">
        <w:r w:rsidRPr="005665FF">
          <w:rPr>
            <w:rFonts w:ascii="Arial" w:eastAsia="Times New Roman" w:hAnsi="Arial" w:cs="Arial"/>
            <w:color w:val="1155CC"/>
            <w:sz w:val="24"/>
            <w:szCs w:val="24"/>
            <w:u w:val="single"/>
          </w:rPr>
          <w:t>https://doi.org/10.1371/journal.pone.0212783</w:t>
        </w:r>
      </w:hyperlink>
      <w:r w:rsidRPr="005665FF">
        <w:rPr>
          <w:rFonts w:ascii="Arial" w:eastAsia="Times New Roman" w:hAnsi="Arial" w:cs="Arial"/>
          <w:color w:val="000000"/>
          <w:sz w:val="24"/>
          <w:szCs w:val="24"/>
        </w:rPr>
        <w:t>.</w:t>
      </w:r>
    </w:p>
    <w:p w14:paraId="1E68090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82E623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Background Under-nutrition in early childhood has harmful impacts on human capital formation in children, with implications for educational, adult health, and labor market outcomes. We investigate the association of linear growth and weight gain in mid-childhood with years of schooling, the Peabody Picture Vocabulary Test score, and math test score during the adolescent age of 14–15 years. Methods Data were derived from the Young Lives study conducted in four low- and middle-income countries (Ethiopia, India, Peru, and Vietnam). The data had detailed information on the children anthropometry and characteristics of the child, household, and community. Multivariate regression analysis, adjusted for the confounding variables, was used to investigate the </w:t>
      </w:r>
      <w:r w:rsidRPr="005665FF">
        <w:rPr>
          <w:rFonts w:ascii="Arial" w:eastAsia="Times New Roman" w:hAnsi="Arial" w:cs="Arial"/>
          <w:color w:val="000000"/>
          <w:sz w:val="24"/>
          <w:szCs w:val="24"/>
        </w:rPr>
        <w:lastRenderedPageBreak/>
        <w:t>association between mid-childhood health, measured by conditional linear growth and relative weight gain, and human capital outcomes in adolescent age. Results After controlling for several confounders, one cm increase in conditional linear growth increased years of schooling by 0.034 years and the Peabody Picture Vocabulary Test score and math test score by 0.474 and 0.083 points respectively. Relative weight gain was negatively associated with years of schooling and math test score. There is no evidence of heterogeneous effects by rural, gender, and household wealth. In the quantile regression analyses, the association between conditional linear growth and outcomes is stronger at the lower level of years of schooling and the Peabody Picture Vocabulary Test score. Conclusion Our study highlights that mid-childhood nutritional intervention targeted for students at the lower level of education distribution can accelerate the rate of human capital accumulation in low- and middle-income countries.</w:t>
      </w:r>
    </w:p>
    <w:p w14:paraId="467A1B8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57E5A63"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90" w:name="m_8873885906141426999__Toc2349095"/>
      <w:r w:rsidRPr="005665FF">
        <w:rPr>
          <w:rFonts w:ascii="Calibri" w:eastAsia="Times New Roman" w:hAnsi="Calibri" w:cs="Calibri"/>
          <w:b/>
          <w:bCs/>
          <w:color w:val="800000"/>
        </w:rPr>
        <w:t xml:space="preserve">Is obesity associated with decreased health-related quality of life in school-age </w:t>
      </w:r>
      <w:proofErr w:type="gramStart"/>
      <w:r w:rsidRPr="005665FF">
        <w:rPr>
          <w:rFonts w:ascii="Calibri" w:eastAsia="Times New Roman" w:hAnsi="Calibri" w:cs="Calibri"/>
          <w:b/>
          <w:bCs/>
          <w:color w:val="800000"/>
        </w:rPr>
        <w:t>children?-</w:t>
      </w:r>
      <w:proofErr w:type="gramEnd"/>
      <w:r w:rsidRPr="005665FF">
        <w:rPr>
          <w:rFonts w:ascii="Calibri" w:eastAsia="Times New Roman" w:hAnsi="Calibri" w:cs="Calibri"/>
          <w:b/>
          <w:bCs/>
          <w:color w:val="800000"/>
        </w:rPr>
        <w:t>Results from a survey in Vietnam.</w:t>
      </w:r>
      <w:bookmarkEnd w:id="90"/>
    </w:p>
    <w:p w14:paraId="6B5E741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Nguyen Thanh Ha, Do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Hanh Trang and Le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Thu Ha. AIMS Public Health, 2018, volume 5, number 4, pp. 338-351.</w:t>
      </w:r>
    </w:p>
    <w:p w14:paraId="21984DF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46" w:tgtFrame="_blank" w:history="1">
        <w:r w:rsidRPr="005665FF">
          <w:rPr>
            <w:rFonts w:ascii="Arial" w:eastAsia="Times New Roman" w:hAnsi="Arial" w:cs="Arial"/>
            <w:color w:val="1155CC"/>
            <w:sz w:val="24"/>
            <w:szCs w:val="24"/>
            <w:u w:val="single"/>
          </w:rPr>
          <w:t>https://www.ncbi.nlm.nih.gov/pubmed/30631778</w:t>
        </w:r>
      </w:hyperlink>
      <w:r w:rsidRPr="005665FF">
        <w:rPr>
          <w:rFonts w:ascii="Arial" w:eastAsia="Times New Roman" w:hAnsi="Arial" w:cs="Arial"/>
          <w:color w:val="000000"/>
          <w:sz w:val="24"/>
          <w:szCs w:val="24"/>
        </w:rPr>
        <w:t>.</w:t>
      </w:r>
    </w:p>
    <w:p w14:paraId="6AF35B1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4FA45D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Background: Overweight and obesity have short-term and long-term effects on children's physical and mental health. These conditions currently have a tendency to increase among Vietnamese school children. Aims: This study aimed to assess the quality of life among </w:t>
      </w:r>
      <w:proofErr w:type="gramStart"/>
      <w:r w:rsidRPr="005665FF">
        <w:rPr>
          <w:rFonts w:ascii="Arial" w:eastAsia="Times New Roman" w:hAnsi="Arial" w:cs="Arial"/>
          <w:color w:val="000000"/>
          <w:sz w:val="24"/>
          <w:szCs w:val="24"/>
        </w:rPr>
        <w:t>8-10 year-old</w:t>
      </w:r>
      <w:proofErr w:type="gramEnd"/>
      <w:r w:rsidRPr="005665FF">
        <w:rPr>
          <w:rFonts w:ascii="Arial" w:eastAsia="Times New Roman" w:hAnsi="Arial" w:cs="Arial"/>
          <w:color w:val="000000"/>
          <w:sz w:val="24"/>
          <w:szCs w:val="24"/>
        </w:rPr>
        <w:t xml:space="preserve"> children in Vietnam. Methods: This cross-sectional study was conducted with a sample of 264 children aged 8-10 years (including 88 obese children and 176 normal-weight ones) at two primary schools in Hanoi, Vietnam, in 2018 and their mothers or fathers participated in this study. The Vietnamese version of the Pediatric Quality of Life Inventory (</w:t>
      </w:r>
      <w:proofErr w:type="spellStart"/>
      <w:r w:rsidRPr="005665FF">
        <w:rPr>
          <w:rFonts w:ascii="Arial" w:eastAsia="Times New Roman" w:hAnsi="Arial" w:cs="Arial"/>
          <w:color w:val="000000"/>
          <w:sz w:val="24"/>
          <w:szCs w:val="24"/>
        </w:rPr>
        <w:t>PedsQL</w:t>
      </w:r>
      <w:proofErr w:type="spellEnd"/>
      <w:r w:rsidRPr="005665FF">
        <w:rPr>
          <w:rFonts w:ascii="Arial" w:eastAsia="Times New Roman" w:hAnsi="Arial" w:cs="Arial"/>
          <w:color w:val="000000"/>
          <w:sz w:val="24"/>
          <w:szCs w:val="24"/>
        </w:rPr>
        <w:t xml:space="preserve">) 4.0 generic score scales were used to collect information from children and their parents about the children's quality-of-life. Mean and standard deviation of </w:t>
      </w:r>
      <w:proofErr w:type="spellStart"/>
      <w:r w:rsidRPr="005665FF">
        <w:rPr>
          <w:rFonts w:ascii="Arial" w:eastAsia="Times New Roman" w:hAnsi="Arial" w:cs="Arial"/>
          <w:color w:val="000000"/>
          <w:sz w:val="24"/>
          <w:szCs w:val="24"/>
        </w:rPr>
        <w:t>PedsQL</w:t>
      </w:r>
      <w:proofErr w:type="spellEnd"/>
      <w:r w:rsidRPr="005665FF">
        <w:rPr>
          <w:rFonts w:ascii="Arial" w:eastAsia="Times New Roman" w:hAnsi="Arial" w:cs="Arial"/>
          <w:color w:val="000000"/>
          <w:sz w:val="24"/>
          <w:szCs w:val="24"/>
        </w:rPr>
        <w:t xml:space="preserve"> scores were calculated. Independent t-test was used to compare mean scores between normal-weight and obese children. Results: Both child </w:t>
      </w:r>
      <w:proofErr w:type="spellStart"/>
      <w:r w:rsidRPr="005665FF">
        <w:rPr>
          <w:rFonts w:ascii="Arial" w:eastAsia="Times New Roman" w:hAnsi="Arial" w:cs="Arial"/>
          <w:color w:val="000000"/>
          <w:sz w:val="24"/>
          <w:szCs w:val="24"/>
        </w:rPr>
        <w:t>self reports</w:t>
      </w:r>
      <w:proofErr w:type="spellEnd"/>
      <w:r w:rsidRPr="005665FF">
        <w:rPr>
          <w:rFonts w:ascii="Arial" w:eastAsia="Times New Roman" w:hAnsi="Arial" w:cs="Arial"/>
          <w:color w:val="000000"/>
          <w:sz w:val="24"/>
          <w:szCs w:val="24"/>
        </w:rPr>
        <w:t xml:space="preserve"> and parent-proxy reports revealed that obese children had significantly lower scores for the total scales compared to normal weight children (80.7 versus 84.0; p &lt; 0.05 for proxy reports and 77.6 vs 84.6; p &lt; 0.001 for </w:t>
      </w:r>
      <w:proofErr w:type="spellStart"/>
      <w:r w:rsidRPr="005665FF">
        <w:rPr>
          <w:rFonts w:ascii="Arial" w:eastAsia="Times New Roman" w:hAnsi="Arial" w:cs="Arial"/>
          <w:color w:val="000000"/>
          <w:sz w:val="24"/>
          <w:szCs w:val="24"/>
        </w:rPr>
        <w:t>self reports</w:t>
      </w:r>
      <w:proofErr w:type="spellEnd"/>
      <w:r w:rsidRPr="005665FF">
        <w:rPr>
          <w:rFonts w:ascii="Arial" w:eastAsia="Times New Roman" w:hAnsi="Arial" w:cs="Arial"/>
          <w:color w:val="000000"/>
          <w:sz w:val="24"/>
          <w:szCs w:val="24"/>
        </w:rPr>
        <w:t xml:space="preserve">). Total scale and subscale scores reported by parents were lower compared to those reported by children. Besides, 79% of normal weight children reported having </w:t>
      </w:r>
      <w:proofErr w:type="spellStart"/>
      <w:r w:rsidRPr="005665FF">
        <w:rPr>
          <w:rFonts w:ascii="Arial" w:eastAsia="Times New Roman" w:hAnsi="Arial" w:cs="Arial"/>
          <w:color w:val="000000"/>
          <w:sz w:val="24"/>
          <w:szCs w:val="24"/>
        </w:rPr>
        <w:t>PedsQL</w:t>
      </w:r>
      <w:proofErr w:type="spellEnd"/>
      <w:r w:rsidRPr="005665FF">
        <w:rPr>
          <w:rFonts w:ascii="Arial" w:eastAsia="Times New Roman" w:hAnsi="Arial" w:cs="Arial"/>
          <w:color w:val="000000"/>
          <w:sz w:val="24"/>
          <w:szCs w:val="24"/>
        </w:rPr>
        <w:t xml:space="preserve"> total scores in the highest quartile (&gt;/=75%), compared to 56.8 % of obese children (p = 0.01). Similarly, these proportions for parent-proxy reports were 79.5% and 65.9%, respectively (p &lt; 0.05). Emotional scores were both found the lowest among the four subscales (71.6 for child </w:t>
      </w:r>
      <w:proofErr w:type="spellStart"/>
      <w:r w:rsidRPr="005665FF">
        <w:rPr>
          <w:rFonts w:ascii="Arial" w:eastAsia="Times New Roman" w:hAnsi="Arial" w:cs="Arial"/>
          <w:color w:val="000000"/>
          <w:sz w:val="24"/>
          <w:szCs w:val="24"/>
        </w:rPr>
        <w:t>self reports</w:t>
      </w:r>
      <w:proofErr w:type="spellEnd"/>
      <w:r w:rsidRPr="005665FF">
        <w:rPr>
          <w:rFonts w:ascii="Arial" w:eastAsia="Times New Roman" w:hAnsi="Arial" w:cs="Arial"/>
          <w:color w:val="000000"/>
          <w:sz w:val="24"/>
          <w:szCs w:val="24"/>
        </w:rPr>
        <w:t xml:space="preserve"> and 73.1 for parent-proxy reports). Recommendations: Interventions aimed to improve quality of life of overweight and obese children in Vietnam should not focus only on diet adjustment and physical </w:t>
      </w:r>
      <w:r w:rsidRPr="005665FF">
        <w:rPr>
          <w:rFonts w:ascii="Arial" w:eastAsia="Times New Roman" w:hAnsi="Arial" w:cs="Arial"/>
          <w:color w:val="000000"/>
          <w:sz w:val="24"/>
          <w:szCs w:val="24"/>
        </w:rPr>
        <w:lastRenderedPageBreak/>
        <w:t>exercise but need to address all dimensions of health-related quality of life, especially emotional, social and school functioning.</w:t>
      </w:r>
    </w:p>
    <w:p w14:paraId="605623D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0AB2921"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63A9EE08" w14:textId="615595A0"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091D9D9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032BCC2"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91" w:name="m_8873885906141426999__Toc2349096"/>
      <w:r w:rsidRPr="005665FF">
        <w:rPr>
          <w:rFonts w:ascii="Calibri" w:eastAsia="Times New Roman" w:hAnsi="Calibri" w:cs="Calibri"/>
          <w:b/>
          <w:bCs/>
          <w:color w:val="800000"/>
        </w:rPr>
        <w:t>Barriers to Engaging Communities in a Dengue Vector Control Program: An Implementation Research in an Urban Area in Hanoi City, Vietnam.</w:t>
      </w:r>
      <w:bookmarkEnd w:id="91"/>
    </w:p>
    <w:p w14:paraId="45804CB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Nguyen Tien Thang, Ari </w:t>
      </w:r>
      <w:proofErr w:type="spellStart"/>
      <w:r w:rsidRPr="005665FF">
        <w:rPr>
          <w:rFonts w:ascii="Arial" w:eastAsia="Times New Roman" w:hAnsi="Arial" w:cs="Arial"/>
          <w:color w:val="000000"/>
          <w:sz w:val="24"/>
          <w:szCs w:val="24"/>
        </w:rPr>
        <w:t>Probandari</w:t>
      </w:r>
      <w:proofErr w:type="spellEnd"/>
      <w:r w:rsidRPr="005665FF">
        <w:rPr>
          <w:rFonts w:ascii="Arial" w:eastAsia="Times New Roman" w:hAnsi="Arial" w:cs="Arial"/>
          <w:color w:val="000000"/>
          <w:sz w:val="24"/>
          <w:szCs w:val="24"/>
        </w:rPr>
        <w:t xml:space="preserve"> and </w:t>
      </w:r>
      <w:proofErr w:type="spellStart"/>
      <w:r w:rsidRPr="005665FF">
        <w:rPr>
          <w:rFonts w:ascii="Arial" w:eastAsia="Times New Roman" w:hAnsi="Arial" w:cs="Arial"/>
          <w:color w:val="000000"/>
          <w:sz w:val="24"/>
          <w:szCs w:val="24"/>
        </w:rPr>
        <w:t>Riris</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Andono</w:t>
      </w:r>
      <w:proofErr w:type="spellEnd"/>
      <w:r w:rsidRPr="005665FF">
        <w:rPr>
          <w:rFonts w:ascii="Arial" w:eastAsia="Times New Roman" w:hAnsi="Arial" w:cs="Arial"/>
          <w:color w:val="000000"/>
          <w:sz w:val="24"/>
          <w:szCs w:val="24"/>
        </w:rPr>
        <w:t xml:space="preserve"> Ahmad. The American Journal of Tropical Medicine and Hygiene, 2019.</w:t>
      </w:r>
    </w:p>
    <w:p w14:paraId="660B29E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55413B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The dengue situation in the urban setting of Hanoi city, Vietnam, is emerging, focusing on inner districts. Previous studies showed that a dengue vector control program in Hanoi was not effective because of the lack of adequate engagement of the local government authorities, health sector, and community. This implementation research aimed to explore barriers to implementing community engagement in a dengue vector control program in an urban district of Hanoi city. Ten in-depth interviews and 14 focus group discussions were conducted at Lang </w:t>
      </w:r>
      <w:proofErr w:type="spellStart"/>
      <w:r w:rsidRPr="005665FF">
        <w:rPr>
          <w:rFonts w:ascii="Arial" w:eastAsia="Times New Roman" w:hAnsi="Arial" w:cs="Arial"/>
          <w:color w:val="000000"/>
          <w:sz w:val="24"/>
          <w:szCs w:val="24"/>
        </w:rPr>
        <w:t>Thuong</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Khuong</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Thuong</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Tho</w:t>
      </w:r>
      <w:proofErr w:type="spellEnd"/>
      <w:r w:rsidRPr="005665FF">
        <w:rPr>
          <w:rFonts w:ascii="Arial" w:eastAsia="Times New Roman" w:hAnsi="Arial" w:cs="Arial"/>
          <w:color w:val="000000"/>
          <w:sz w:val="24"/>
          <w:szCs w:val="24"/>
        </w:rPr>
        <w:t xml:space="preserve"> Quan, and Kim Lien wards in Dong Da district, Hanoi city. Data collection was implemented from April to June 2017. All discussions were recorded and transcribed verbatim. Data were analyzed using the content analysis approach. Secondary data from the dengue vector control program reports were used to support the qualitative evidence. We found that the barriers to implementing effective community engagement were as follows: 1) lack of interest and an attitude of dependency on action from the health sector of local people’s committee, 2) lack of enthusiasm of mass organizations and community leaders, 3) overburdened workloads and lack of communication skills from health sector, 4) low awareness and readiness from community, 5) lack of detailed policy guidelines and low enforcement of related policy, and 6) limited budget. Recommended actions should be made to improve the community engagement in the current resource-limited context of Vietnam by both top-down and bottom-up approaches.</w:t>
      </w:r>
    </w:p>
    <w:p w14:paraId="1585D45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A2FB431"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92" w:name="m_8873885906141426999__Toc2349097"/>
      <w:r w:rsidRPr="005665FF">
        <w:rPr>
          <w:rFonts w:ascii="Calibri" w:eastAsia="Times New Roman" w:hAnsi="Calibri" w:cs="Calibri"/>
          <w:b/>
          <w:bCs/>
          <w:color w:val="800000"/>
        </w:rPr>
        <w:t>Containing Contagion: The Politics of Disease Outbreaks in Southeast Asia.</w:t>
      </w:r>
      <w:bookmarkEnd w:id="92"/>
    </w:p>
    <w:p w14:paraId="2320AA8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Sara E. Davies. Johns Hopkins University Press, 2019.</w:t>
      </w:r>
    </w:p>
    <w:p w14:paraId="373B822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0FD862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xml:space="preserve">Abstract: The fields of global health and international relations are increasingly concerned with the responsibilities of nations to respond to disease outbreaks in a way that safeguards their neighbors as well as the broader international community. In Containing Contagion, Sara E. Davies focuses on one of the world's most pivotal (and riskiest) regions in the field of global health—Southeast Asia, which in recent years has responded to a wave of emerging and endemic infectious disease outbreaks ranging from </w:t>
      </w:r>
      <w:proofErr w:type="spellStart"/>
      <w:r w:rsidRPr="005665FF">
        <w:rPr>
          <w:rFonts w:ascii="Arial" w:eastAsia="Times New Roman" w:hAnsi="Arial" w:cs="Arial"/>
          <w:color w:val="000000"/>
          <w:sz w:val="24"/>
          <w:szCs w:val="24"/>
        </w:rPr>
        <w:t>Nipah</w:t>
      </w:r>
      <w:proofErr w:type="spellEnd"/>
      <w:r w:rsidRPr="005665FF">
        <w:rPr>
          <w:rFonts w:ascii="Arial" w:eastAsia="Times New Roman" w:hAnsi="Arial" w:cs="Arial"/>
          <w:color w:val="000000"/>
          <w:sz w:val="24"/>
          <w:szCs w:val="24"/>
        </w:rPr>
        <w:t>, SARS, and avian flu to dengue and Japanese encephalitis. --- Between 2005 and 2010, Davies explains, Southeast Asian states, despite having vastly different health system capacities and political systems, repeatedly committed to pursue a collective approach to the communication of outbreaks. Davies draws on newly gathered data and extensive field interviews to explore how these states implemented the revised International Health Regulations (IHR) through the deliberate alignment of political interests and regional cooperation. Examining why these Southeast Asian states adopted a collective approach, Davies also describes the complications that ensued and traces the consequences of this approach. --- The first book to explore what problems exist in the relationship between international relations and health, Containing Contagion frames contrasting views of global health agency within the current crises that are facing global health. Providing an immediate, contemporary example of a region networking its response to disease outbreak events, this insightful book will appeal to global health governance scholars, students, and practitioners.</w:t>
      </w:r>
    </w:p>
    <w:p w14:paraId="190FB06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FDD94D5"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09EE2D8B" w14:textId="42A37A3C"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1155E43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7218C81"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93" w:name="m_8873885906141426999__Toc2349098"/>
      <w:r w:rsidRPr="005665FF">
        <w:rPr>
          <w:rFonts w:ascii="Calibri" w:eastAsia="Times New Roman" w:hAnsi="Calibri" w:cs="Calibri"/>
          <w:b/>
          <w:bCs/>
          <w:color w:val="800000"/>
        </w:rPr>
        <w:t>Estimating the economic impact of canine rabies to Viet Nam 2005-2014.</w:t>
      </w:r>
      <w:bookmarkEnd w:id="93"/>
    </w:p>
    <w:p w14:paraId="4D18039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Stephanie A. </w:t>
      </w:r>
      <w:proofErr w:type="spellStart"/>
      <w:r w:rsidRPr="005665FF">
        <w:rPr>
          <w:rFonts w:ascii="Arial" w:eastAsia="Times New Roman" w:hAnsi="Arial" w:cs="Arial"/>
          <w:color w:val="000000"/>
          <w:sz w:val="24"/>
          <w:szCs w:val="24"/>
        </w:rPr>
        <w:t>Shwiff</w:t>
      </w:r>
      <w:proofErr w:type="spellEnd"/>
      <w:r w:rsidRPr="005665FF">
        <w:rPr>
          <w:rFonts w:ascii="Arial" w:eastAsia="Times New Roman" w:hAnsi="Arial" w:cs="Arial"/>
          <w:color w:val="000000"/>
          <w:sz w:val="24"/>
          <w:szCs w:val="24"/>
        </w:rPr>
        <w:t xml:space="preserve">, Vienna R. Brown, Thu Trang Dao, Julie </w:t>
      </w:r>
      <w:proofErr w:type="spellStart"/>
      <w:r w:rsidRPr="005665FF">
        <w:rPr>
          <w:rFonts w:ascii="Arial" w:eastAsia="Times New Roman" w:hAnsi="Arial" w:cs="Arial"/>
          <w:color w:val="000000"/>
          <w:sz w:val="24"/>
          <w:szCs w:val="24"/>
        </w:rPr>
        <w:t>Elser</w:t>
      </w:r>
      <w:proofErr w:type="spellEnd"/>
      <w:r w:rsidRPr="005665FF">
        <w:rPr>
          <w:rFonts w:ascii="Arial" w:eastAsia="Times New Roman" w:hAnsi="Arial" w:cs="Arial"/>
          <w:color w:val="000000"/>
          <w:sz w:val="24"/>
          <w:szCs w:val="24"/>
        </w:rPr>
        <w:t xml:space="preserve">, Hoang Xuan </w:t>
      </w:r>
      <w:proofErr w:type="spellStart"/>
      <w:r w:rsidRPr="005665FF">
        <w:rPr>
          <w:rFonts w:ascii="Arial" w:eastAsia="Times New Roman" w:hAnsi="Arial" w:cs="Arial"/>
          <w:color w:val="000000"/>
          <w:sz w:val="24"/>
          <w:szCs w:val="24"/>
        </w:rPr>
        <w:t>Trung</w:t>
      </w:r>
      <w:proofErr w:type="spellEnd"/>
      <w:r w:rsidRPr="005665FF">
        <w:rPr>
          <w:rFonts w:ascii="Arial" w:eastAsia="Times New Roman" w:hAnsi="Arial" w:cs="Arial"/>
          <w:color w:val="000000"/>
          <w:sz w:val="24"/>
          <w:szCs w:val="24"/>
        </w:rPr>
        <w:t xml:space="preserve"> and others. </w:t>
      </w:r>
      <w:proofErr w:type="spellStart"/>
      <w:r w:rsidRPr="005665FF">
        <w:rPr>
          <w:rFonts w:ascii="Arial" w:eastAsia="Times New Roman" w:hAnsi="Arial" w:cs="Arial"/>
          <w:color w:val="000000"/>
          <w:sz w:val="24"/>
          <w:szCs w:val="24"/>
        </w:rPr>
        <w:t>PLoS</w:t>
      </w:r>
      <w:proofErr w:type="spellEnd"/>
      <w:r w:rsidRPr="005665FF">
        <w:rPr>
          <w:rFonts w:ascii="Arial" w:eastAsia="Times New Roman" w:hAnsi="Arial" w:cs="Arial"/>
          <w:color w:val="000000"/>
          <w:sz w:val="24"/>
          <w:szCs w:val="24"/>
        </w:rPr>
        <w:t xml:space="preserve"> neglected tropical diseases, 2018, volume 12, number 10, pp. e0006866-e0006866.</w:t>
      </w:r>
    </w:p>
    <w:p w14:paraId="2D4FC94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47" w:tgtFrame="_blank" w:history="1">
        <w:r w:rsidRPr="005665FF">
          <w:rPr>
            <w:rFonts w:ascii="Arial" w:eastAsia="Times New Roman" w:hAnsi="Arial" w:cs="Arial"/>
            <w:color w:val="1155CC"/>
            <w:sz w:val="24"/>
            <w:szCs w:val="24"/>
            <w:u w:val="single"/>
          </w:rPr>
          <w:t>https://www.ncbi.nlm.nih.gov/pubmed/30307947</w:t>
        </w:r>
      </w:hyperlink>
      <w:r w:rsidRPr="005665FF">
        <w:rPr>
          <w:rFonts w:ascii="Arial" w:eastAsia="Times New Roman" w:hAnsi="Arial" w:cs="Arial"/>
          <w:color w:val="000000"/>
          <w:sz w:val="24"/>
          <w:szCs w:val="24"/>
        </w:rPr>
        <w:t>.</w:t>
      </w:r>
    </w:p>
    <w:p w14:paraId="68E9C17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AB1060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The global economic impact of canine rabies has been estimated by several studies. Asia bears a disproportionate burden of this zoonosis due to high levels of human deaths and rates of post-exposure prophylaxis (PEP), but low investment in preventative dog vaccination. The same factors that cause rabies to burden much of Asia are also present in Viet Nam. This study estimated the economic burden of canine rabies in a societal perspective including direct and indirect cost of rabies in dogs, livestock, and humans. Using data collected from personal interviews, published literature, published and supplementary reports, and primary data collection, we </w:t>
      </w:r>
      <w:r w:rsidRPr="005665FF">
        <w:rPr>
          <w:rFonts w:ascii="Arial" w:eastAsia="Times New Roman" w:hAnsi="Arial" w:cs="Arial"/>
          <w:color w:val="000000"/>
          <w:sz w:val="24"/>
          <w:szCs w:val="24"/>
        </w:rPr>
        <w:lastRenderedPageBreak/>
        <w:t xml:space="preserve">estimated the economic impact of canine rabies in Viet Nam over a </w:t>
      </w:r>
      <w:proofErr w:type="gramStart"/>
      <w:r w:rsidRPr="005665FF">
        <w:rPr>
          <w:rFonts w:ascii="Arial" w:eastAsia="Times New Roman" w:hAnsi="Arial" w:cs="Arial"/>
          <w:color w:val="000000"/>
          <w:sz w:val="24"/>
          <w:szCs w:val="24"/>
        </w:rPr>
        <w:t>ten year</w:t>
      </w:r>
      <w:proofErr w:type="gramEnd"/>
      <w:r w:rsidRPr="005665FF">
        <w:rPr>
          <w:rFonts w:ascii="Arial" w:eastAsia="Times New Roman" w:hAnsi="Arial" w:cs="Arial"/>
          <w:color w:val="000000"/>
          <w:sz w:val="24"/>
          <w:szCs w:val="24"/>
        </w:rPr>
        <w:t xml:space="preserve"> period (2005-2014). We incorporated the direct and indirect costs for PEP, dog vaccination efforts, livestock losses, and disability adjusted life years (DALYs) into the analysis. General findings from this analysis indicated that over the </w:t>
      </w:r>
      <w:proofErr w:type="gramStart"/>
      <w:r w:rsidRPr="005665FF">
        <w:rPr>
          <w:rFonts w:ascii="Arial" w:eastAsia="Times New Roman" w:hAnsi="Arial" w:cs="Arial"/>
          <w:color w:val="000000"/>
          <w:sz w:val="24"/>
          <w:szCs w:val="24"/>
        </w:rPr>
        <w:t>10 year</w:t>
      </w:r>
      <w:proofErr w:type="gramEnd"/>
      <w:r w:rsidRPr="005665FF">
        <w:rPr>
          <w:rFonts w:ascii="Arial" w:eastAsia="Times New Roman" w:hAnsi="Arial" w:cs="Arial"/>
          <w:color w:val="000000"/>
          <w:sz w:val="24"/>
          <w:szCs w:val="24"/>
        </w:rPr>
        <w:t xml:space="preserve"> study period, the total economic impact of canine rabies was over $719 million USD. The largest portion of impacts (92%) were made up of PEP-related costs. Canine rabies created between 36,560 and 45,700 DALYs, measured in years of life lost (YLL). A total of 914 human deaths were reported over the study period. Deaths/100,000 people were 0.11, which is lower than the reported level for Asian countries. The cost per dog vaccinated was $1.75 USD. Our results indicate that canine rabies impacts in Viet Nam are consistent with the burden elsewhere reported in Asia, with large expenditures on PEP and very small investments in dog vaccination.</w:t>
      </w:r>
    </w:p>
    <w:p w14:paraId="2440C25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36C32E2"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94" w:name="m_8873885906141426999__Toc2349099"/>
      <w:r w:rsidRPr="005665FF">
        <w:rPr>
          <w:rFonts w:ascii="Calibri" w:eastAsia="Times New Roman" w:hAnsi="Calibri" w:cs="Calibri"/>
          <w:b/>
          <w:bCs/>
          <w:color w:val="800000"/>
        </w:rPr>
        <w:t>Household contact investigation for the detection of tuberculosis in Vietnam: economic evaluation of a cluster-</w:t>
      </w:r>
      <w:proofErr w:type="spellStart"/>
      <w:r w:rsidRPr="005665FF">
        <w:rPr>
          <w:rFonts w:ascii="Calibri" w:eastAsia="Times New Roman" w:hAnsi="Calibri" w:cs="Calibri"/>
          <w:b/>
          <w:bCs/>
          <w:color w:val="800000"/>
        </w:rPr>
        <w:t>randomised</w:t>
      </w:r>
      <w:proofErr w:type="spellEnd"/>
      <w:r w:rsidRPr="005665FF">
        <w:rPr>
          <w:rFonts w:ascii="Calibri" w:eastAsia="Times New Roman" w:hAnsi="Calibri" w:cs="Calibri"/>
          <w:b/>
          <w:bCs/>
          <w:color w:val="800000"/>
        </w:rPr>
        <w:t xml:space="preserve"> trial.</w:t>
      </w:r>
      <w:bookmarkEnd w:id="94"/>
    </w:p>
    <w:p w14:paraId="48E8F98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Thomas Lung, Guy B. Marks, Nguyen Viet Nhung, Nguyen Thu Anh, Nghiem Le Phuong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and others. The Lancet Global Health, 2019, volume 7, number 3, pp. e376-e384.</w:t>
      </w:r>
    </w:p>
    <w:p w14:paraId="2CBA237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48" w:tgtFrame="_blank" w:history="1">
        <w:r w:rsidRPr="005665FF">
          <w:rPr>
            <w:rFonts w:ascii="Arial" w:eastAsia="Times New Roman" w:hAnsi="Arial" w:cs="Arial"/>
            <w:color w:val="1155CC"/>
            <w:sz w:val="24"/>
            <w:szCs w:val="24"/>
            <w:u w:val="single"/>
          </w:rPr>
          <w:t>http://www.sciencedirect.com/science/article/pii/S2214109X18305205</w:t>
        </w:r>
      </w:hyperlink>
      <w:r w:rsidRPr="005665FF">
        <w:rPr>
          <w:rFonts w:ascii="Arial" w:eastAsia="Times New Roman" w:hAnsi="Arial" w:cs="Arial"/>
          <w:color w:val="000000"/>
          <w:sz w:val="24"/>
          <w:szCs w:val="24"/>
        </w:rPr>
        <w:t>.</w:t>
      </w:r>
    </w:p>
    <w:p w14:paraId="7BF02BA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7C79D2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Summary Background Active case finding is recommended as an important strategy to control tuberculosis, particularly in low-income and middle-income countries with a high prevalence of the disease. However, the costs and cost-effectiveness of active case finding are unclear due to the absence of evidence from </w:t>
      </w:r>
      <w:proofErr w:type="spellStart"/>
      <w:r w:rsidRPr="005665FF">
        <w:rPr>
          <w:rFonts w:ascii="Arial" w:eastAsia="Times New Roman" w:hAnsi="Arial" w:cs="Arial"/>
          <w:color w:val="000000"/>
          <w:sz w:val="24"/>
          <w:szCs w:val="24"/>
        </w:rPr>
        <w:t>randomised</w:t>
      </w:r>
      <w:proofErr w:type="spellEnd"/>
      <w:r w:rsidRPr="005665FF">
        <w:rPr>
          <w:rFonts w:ascii="Arial" w:eastAsia="Times New Roman" w:hAnsi="Arial" w:cs="Arial"/>
          <w:color w:val="000000"/>
          <w:sz w:val="24"/>
          <w:szCs w:val="24"/>
        </w:rPr>
        <w:t xml:space="preserve"> trials. We assessed the costs and cost-effectiveness of an active case finding strategy in Vietnam, where there is a high prevalence of tuberculosis. Methods We conducted an economic evaluation alongside the Active Case Finding in Tuberculosis (ACT2) trial—a pragmatic cluster-</w:t>
      </w:r>
      <w:proofErr w:type="spellStart"/>
      <w:r w:rsidRPr="005665FF">
        <w:rPr>
          <w:rFonts w:ascii="Arial" w:eastAsia="Times New Roman" w:hAnsi="Arial" w:cs="Arial"/>
          <w:color w:val="000000"/>
          <w:sz w:val="24"/>
          <w:szCs w:val="24"/>
        </w:rPr>
        <w:t>randomised</w:t>
      </w:r>
      <w:proofErr w:type="spellEnd"/>
      <w:r w:rsidRPr="005665FF">
        <w:rPr>
          <w:rFonts w:ascii="Arial" w:eastAsia="Times New Roman" w:hAnsi="Arial" w:cs="Arial"/>
          <w:color w:val="000000"/>
          <w:sz w:val="24"/>
          <w:szCs w:val="24"/>
        </w:rPr>
        <w:t xml:space="preserve"> controlled trial in 70 districts across eight provinces of Vietnam. Patients aged 15 years and older with smear-positive pulmonary tuberculosis were recruited to the trial if they lived with one or more other household members. Household contacts were verbally invited to the clinic by the index patient with tuberculosis. ACT2 compared a combination of active and passive case finding with usual care (passive case finding) of household contacts of patients with tuberculosis from a health system perspective. Clustering occurred at the district and household level. Districts were the unit of </w:t>
      </w:r>
      <w:proofErr w:type="spellStart"/>
      <w:r w:rsidRPr="005665FF">
        <w:rPr>
          <w:rFonts w:ascii="Arial" w:eastAsia="Times New Roman" w:hAnsi="Arial" w:cs="Arial"/>
          <w:color w:val="000000"/>
          <w:sz w:val="24"/>
          <w:szCs w:val="24"/>
        </w:rPr>
        <w:t>randomisation</w:t>
      </w:r>
      <w:proofErr w:type="spellEnd"/>
      <w:r w:rsidRPr="005665FF">
        <w:rPr>
          <w:rFonts w:ascii="Arial" w:eastAsia="Times New Roman" w:hAnsi="Arial" w:cs="Arial"/>
          <w:color w:val="000000"/>
          <w:sz w:val="24"/>
          <w:szCs w:val="24"/>
        </w:rPr>
        <w:t xml:space="preserve">, and we used </w:t>
      </w:r>
      <w:proofErr w:type="spellStart"/>
      <w:r w:rsidRPr="005665FF">
        <w:rPr>
          <w:rFonts w:ascii="Arial" w:eastAsia="Times New Roman" w:hAnsi="Arial" w:cs="Arial"/>
          <w:color w:val="000000"/>
          <w:sz w:val="24"/>
          <w:szCs w:val="24"/>
        </w:rPr>
        <w:t>minimisation</w:t>
      </w:r>
      <w:proofErr w:type="spellEnd"/>
      <w:r w:rsidRPr="005665FF">
        <w:rPr>
          <w:rFonts w:ascii="Arial" w:eastAsia="Times New Roman" w:hAnsi="Arial" w:cs="Arial"/>
          <w:color w:val="000000"/>
          <w:sz w:val="24"/>
          <w:szCs w:val="24"/>
        </w:rPr>
        <w:t xml:space="preserve"> to ensure balance of intervention and control districts within each province. In the intervention group, participants were invited to attend screening at baseline, 6 months, 12 months, and 24 months. We determined health-care costs with a </w:t>
      </w:r>
      <w:proofErr w:type="spellStart"/>
      <w:r w:rsidRPr="005665FF">
        <w:rPr>
          <w:rFonts w:ascii="Arial" w:eastAsia="Times New Roman" w:hAnsi="Arial" w:cs="Arial"/>
          <w:color w:val="000000"/>
          <w:sz w:val="24"/>
          <w:szCs w:val="24"/>
        </w:rPr>
        <w:t>standardised</w:t>
      </w:r>
      <w:proofErr w:type="spellEnd"/>
      <w:r w:rsidRPr="005665FF">
        <w:rPr>
          <w:rFonts w:ascii="Arial" w:eastAsia="Times New Roman" w:hAnsi="Arial" w:cs="Arial"/>
          <w:color w:val="000000"/>
          <w:sz w:val="24"/>
          <w:szCs w:val="24"/>
        </w:rPr>
        <w:t xml:space="preserve"> national costing survey and reported results in 2017 $US. The primary outcome of our study was disability-adjusted life years (DALYs) averted over a 24-month period. ACT2 was registered prospectively with the Australian and New Zealand Clinical Trials Registry, </w:t>
      </w:r>
      <w:r w:rsidRPr="005665FF">
        <w:rPr>
          <w:rFonts w:ascii="Arial" w:eastAsia="Times New Roman" w:hAnsi="Arial" w:cs="Arial"/>
          <w:color w:val="000000"/>
          <w:sz w:val="24"/>
          <w:szCs w:val="24"/>
        </w:rPr>
        <w:lastRenderedPageBreak/>
        <w:t xml:space="preserve">number ACTRN126.100.00600044. Findings Between Aug 11, 2010, and Aug 11, 2015, 10 964 index patients and 25 707 household contacts completed the ACT2 study. There were 10 069 household contacts in the intervention group and 15 638 household contacts in the control group. The incremental cost-effectiveness ratio per DALY averted was $544 (330–1375). Interpretation Active case finding was shown to be highly cost-effective in a setting with a high prevalence of tuberculosis. Investment in the wide-scale implementation of this </w:t>
      </w:r>
      <w:proofErr w:type="spellStart"/>
      <w:r w:rsidRPr="005665FF">
        <w:rPr>
          <w:rFonts w:ascii="Arial" w:eastAsia="Times New Roman" w:hAnsi="Arial" w:cs="Arial"/>
          <w:color w:val="000000"/>
          <w:sz w:val="24"/>
          <w:szCs w:val="24"/>
        </w:rPr>
        <w:t>programme</w:t>
      </w:r>
      <w:proofErr w:type="spellEnd"/>
      <w:r w:rsidRPr="005665FF">
        <w:rPr>
          <w:rFonts w:ascii="Arial" w:eastAsia="Times New Roman" w:hAnsi="Arial" w:cs="Arial"/>
          <w:color w:val="000000"/>
          <w:sz w:val="24"/>
          <w:szCs w:val="24"/>
        </w:rPr>
        <w:t xml:space="preserve"> in Vietnam should be strongly supported. Funding Australian National Health and Medical Research Council.</w:t>
      </w:r>
    </w:p>
    <w:p w14:paraId="4FE5BCC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9649B9E"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3B875085" w14:textId="13B2D890"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5128C35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3DA2C2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b/>
          <w:bCs/>
          <w:color w:val="800000"/>
          <w:sz w:val="24"/>
          <w:szCs w:val="24"/>
        </w:rPr>
        <w:t>How can interventions that target forest-goers be tailored to accelerate malaria elimination in the</w:t>
      </w:r>
      <w:r w:rsidRPr="005665FF">
        <w:rPr>
          <w:rFonts w:ascii="Arial" w:eastAsia="Times New Roman" w:hAnsi="Arial" w:cs="Arial"/>
          <w:color w:val="000000"/>
          <w:sz w:val="24"/>
          <w:szCs w:val="24"/>
        </w:rPr>
        <w:t> </w:t>
      </w:r>
      <w:r w:rsidRPr="005665FF">
        <w:rPr>
          <w:rFonts w:ascii="Arial" w:eastAsia="Times New Roman" w:hAnsi="Arial" w:cs="Arial"/>
          <w:b/>
          <w:bCs/>
          <w:color w:val="800000"/>
          <w:sz w:val="24"/>
          <w:szCs w:val="24"/>
        </w:rPr>
        <w:t>Greater Mekong Subregion? A systematic review of the qualitative literature.</w:t>
      </w:r>
    </w:p>
    <w:p w14:paraId="03DCCEA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Stephanie D. </w:t>
      </w:r>
      <w:proofErr w:type="spellStart"/>
      <w:r w:rsidRPr="005665FF">
        <w:rPr>
          <w:rFonts w:ascii="Arial" w:eastAsia="Times New Roman" w:hAnsi="Arial" w:cs="Arial"/>
          <w:color w:val="000000"/>
          <w:sz w:val="24"/>
          <w:szCs w:val="24"/>
        </w:rPr>
        <w:t>Nofal</w:t>
      </w:r>
      <w:proofErr w:type="spellEnd"/>
      <w:r w:rsidRPr="005665FF">
        <w:rPr>
          <w:rFonts w:ascii="Arial" w:eastAsia="Times New Roman" w:hAnsi="Arial" w:cs="Arial"/>
          <w:color w:val="000000"/>
          <w:sz w:val="24"/>
          <w:szCs w:val="24"/>
        </w:rPr>
        <w:t xml:space="preserve">, Thomas J. </w:t>
      </w:r>
      <w:proofErr w:type="spellStart"/>
      <w:r w:rsidRPr="005665FF">
        <w:rPr>
          <w:rFonts w:ascii="Arial" w:eastAsia="Times New Roman" w:hAnsi="Arial" w:cs="Arial"/>
          <w:color w:val="000000"/>
          <w:sz w:val="24"/>
          <w:szCs w:val="24"/>
        </w:rPr>
        <w:t>Peto</w:t>
      </w:r>
      <w:proofErr w:type="spellEnd"/>
      <w:r w:rsidRPr="005665FF">
        <w:rPr>
          <w:rFonts w:ascii="Arial" w:eastAsia="Times New Roman" w:hAnsi="Arial" w:cs="Arial"/>
          <w:color w:val="000000"/>
          <w:sz w:val="24"/>
          <w:szCs w:val="24"/>
        </w:rPr>
        <w:t xml:space="preserve">, Bipin Adhikari, </w:t>
      </w:r>
      <w:proofErr w:type="spellStart"/>
      <w:r w:rsidRPr="005665FF">
        <w:rPr>
          <w:rFonts w:ascii="Arial" w:eastAsia="Times New Roman" w:hAnsi="Arial" w:cs="Arial"/>
          <w:color w:val="000000"/>
          <w:sz w:val="24"/>
          <w:szCs w:val="24"/>
        </w:rPr>
        <w:t>Rupam</w:t>
      </w:r>
      <w:proofErr w:type="spellEnd"/>
      <w:r w:rsidRPr="005665FF">
        <w:rPr>
          <w:rFonts w:ascii="Arial" w:eastAsia="Times New Roman" w:hAnsi="Arial" w:cs="Arial"/>
          <w:color w:val="000000"/>
          <w:sz w:val="24"/>
          <w:szCs w:val="24"/>
        </w:rPr>
        <w:t xml:space="preserve"> Tripura, James </w:t>
      </w:r>
      <w:proofErr w:type="spellStart"/>
      <w:r w:rsidRPr="005665FF">
        <w:rPr>
          <w:rFonts w:ascii="Arial" w:eastAsia="Times New Roman" w:hAnsi="Arial" w:cs="Arial"/>
          <w:color w:val="000000"/>
          <w:sz w:val="24"/>
          <w:szCs w:val="24"/>
        </w:rPr>
        <w:t>Callery</w:t>
      </w:r>
      <w:proofErr w:type="spellEnd"/>
      <w:r w:rsidRPr="005665FF">
        <w:rPr>
          <w:rFonts w:ascii="Arial" w:eastAsia="Times New Roman" w:hAnsi="Arial" w:cs="Arial"/>
          <w:color w:val="000000"/>
          <w:sz w:val="24"/>
          <w:szCs w:val="24"/>
        </w:rPr>
        <w:t xml:space="preserve"> and others. Malaria Journal, 2019, volume 18, number 1, p. 32.</w:t>
      </w:r>
    </w:p>
    <w:p w14:paraId="48F19C0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7FAFEC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Despite decreases in incidence and related mortality, malaria remains a major public health challenge in the Greater Mekong Sub-region (GMS). The emergence of artemisinin resistance threatens these gains and has prompted efforts to accelerate elimination in the region. In the GMS, transmission now clusters in hotspots along international borders and among high-risk populations, including forest-goers. To eliminate malaria in the region, interventions must target such hard-to-reach populations. This review provides a comprehensive overview of the qualitative research on </w:t>
      </w:r>
      <w:proofErr w:type="spellStart"/>
      <w:r w:rsidRPr="005665FF">
        <w:rPr>
          <w:rFonts w:ascii="Arial" w:eastAsia="Times New Roman" w:hAnsi="Arial" w:cs="Arial"/>
          <w:color w:val="000000"/>
          <w:sz w:val="24"/>
          <w:szCs w:val="24"/>
        </w:rPr>
        <w:t>behaviours</w:t>
      </w:r>
      <w:proofErr w:type="spellEnd"/>
      <w:r w:rsidRPr="005665FF">
        <w:rPr>
          <w:rFonts w:ascii="Arial" w:eastAsia="Times New Roman" w:hAnsi="Arial" w:cs="Arial"/>
          <w:color w:val="000000"/>
          <w:sz w:val="24"/>
          <w:szCs w:val="24"/>
        </w:rPr>
        <w:t xml:space="preserve"> and perceptions that influence uptake of and adherence to malaria interventions among forest-goers in the GMS.</w:t>
      </w:r>
    </w:p>
    <w:p w14:paraId="730CCA0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CAFF936"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95" w:name="m_8873885906141426999__Toc2349100"/>
      <w:r w:rsidRPr="005665FF">
        <w:rPr>
          <w:rFonts w:ascii="Calibri" w:eastAsia="Times New Roman" w:hAnsi="Calibri" w:cs="Calibri"/>
          <w:b/>
          <w:bCs/>
          <w:color w:val="800000"/>
        </w:rPr>
        <w:t xml:space="preserve">The impact of targeted malaria elimination with mass drug administrations on falciparum malaria in Southeast Asia: A cluster </w:t>
      </w:r>
      <w:proofErr w:type="spellStart"/>
      <w:r w:rsidRPr="005665FF">
        <w:rPr>
          <w:rFonts w:ascii="Calibri" w:eastAsia="Times New Roman" w:hAnsi="Calibri" w:cs="Calibri"/>
          <w:b/>
          <w:bCs/>
          <w:color w:val="800000"/>
        </w:rPr>
        <w:t>randomised</w:t>
      </w:r>
      <w:proofErr w:type="spellEnd"/>
      <w:r w:rsidRPr="005665FF">
        <w:rPr>
          <w:rFonts w:ascii="Calibri" w:eastAsia="Times New Roman" w:hAnsi="Calibri" w:cs="Calibri"/>
          <w:b/>
          <w:bCs/>
          <w:color w:val="800000"/>
        </w:rPr>
        <w:t xml:space="preserve"> trial.</w:t>
      </w:r>
      <w:bookmarkEnd w:id="95"/>
    </w:p>
    <w:p w14:paraId="15F8782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Lorenz von </w:t>
      </w:r>
      <w:proofErr w:type="spellStart"/>
      <w:r w:rsidRPr="005665FF">
        <w:rPr>
          <w:rFonts w:ascii="Arial" w:eastAsia="Times New Roman" w:hAnsi="Arial" w:cs="Arial"/>
          <w:color w:val="000000"/>
          <w:sz w:val="24"/>
          <w:szCs w:val="24"/>
        </w:rPr>
        <w:t>Seidlein</w:t>
      </w:r>
      <w:proofErr w:type="spellEnd"/>
      <w:r w:rsidRPr="005665FF">
        <w:rPr>
          <w:rFonts w:ascii="Arial" w:eastAsia="Times New Roman" w:hAnsi="Arial" w:cs="Arial"/>
          <w:color w:val="000000"/>
          <w:sz w:val="24"/>
          <w:szCs w:val="24"/>
        </w:rPr>
        <w:t xml:space="preserve">, Thomas J </w:t>
      </w:r>
      <w:proofErr w:type="spellStart"/>
      <w:r w:rsidRPr="005665FF">
        <w:rPr>
          <w:rFonts w:ascii="Arial" w:eastAsia="Times New Roman" w:hAnsi="Arial" w:cs="Arial"/>
          <w:color w:val="000000"/>
          <w:sz w:val="24"/>
          <w:szCs w:val="24"/>
        </w:rPr>
        <w:t>Peto</w:t>
      </w:r>
      <w:proofErr w:type="spellEnd"/>
      <w:r w:rsidRPr="005665FF">
        <w:rPr>
          <w:rFonts w:ascii="Arial" w:eastAsia="Times New Roman" w:hAnsi="Arial" w:cs="Arial"/>
          <w:color w:val="000000"/>
          <w:sz w:val="24"/>
          <w:szCs w:val="24"/>
        </w:rPr>
        <w:t xml:space="preserve">, Jordi </w:t>
      </w:r>
      <w:proofErr w:type="spellStart"/>
      <w:r w:rsidRPr="005665FF">
        <w:rPr>
          <w:rFonts w:ascii="Arial" w:eastAsia="Times New Roman" w:hAnsi="Arial" w:cs="Arial"/>
          <w:color w:val="000000"/>
          <w:sz w:val="24"/>
          <w:szCs w:val="24"/>
        </w:rPr>
        <w:t>Landier</w:t>
      </w:r>
      <w:proofErr w:type="spellEnd"/>
      <w:r w:rsidRPr="005665FF">
        <w:rPr>
          <w:rFonts w:ascii="Arial" w:eastAsia="Times New Roman" w:hAnsi="Arial" w:cs="Arial"/>
          <w:color w:val="000000"/>
          <w:sz w:val="24"/>
          <w:szCs w:val="24"/>
        </w:rPr>
        <w:t>, Thuy-</w:t>
      </w:r>
      <w:proofErr w:type="spellStart"/>
      <w:r w:rsidRPr="005665FF">
        <w:rPr>
          <w:rFonts w:ascii="Arial" w:eastAsia="Times New Roman" w:hAnsi="Arial" w:cs="Arial"/>
          <w:color w:val="000000"/>
          <w:sz w:val="24"/>
          <w:szCs w:val="24"/>
        </w:rPr>
        <w:t>Nhien</w:t>
      </w:r>
      <w:proofErr w:type="spellEnd"/>
      <w:r w:rsidRPr="005665FF">
        <w:rPr>
          <w:rFonts w:ascii="Arial" w:eastAsia="Times New Roman" w:hAnsi="Arial" w:cs="Arial"/>
          <w:color w:val="000000"/>
          <w:sz w:val="24"/>
          <w:szCs w:val="24"/>
        </w:rPr>
        <w:t xml:space="preserve"> Nguyen, </w:t>
      </w:r>
      <w:proofErr w:type="spellStart"/>
      <w:r w:rsidRPr="005665FF">
        <w:rPr>
          <w:rFonts w:ascii="Arial" w:eastAsia="Times New Roman" w:hAnsi="Arial" w:cs="Arial"/>
          <w:color w:val="000000"/>
          <w:sz w:val="24"/>
          <w:szCs w:val="24"/>
        </w:rPr>
        <w:t>Rupam</w:t>
      </w:r>
      <w:proofErr w:type="spellEnd"/>
      <w:r w:rsidRPr="005665FF">
        <w:rPr>
          <w:rFonts w:ascii="Arial" w:eastAsia="Times New Roman" w:hAnsi="Arial" w:cs="Arial"/>
          <w:color w:val="000000"/>
          <w:sz w:val="24"/>
          <w:szCs w:val="24"/>
        </w:rPr>
        <w:t xml:space="preserve"> Tripura and others. </w:t>
      </w:r>
      <w:proofErr w:type="spellStart"/>
      <w:r w:rsidRPr="005665FF">
        <w:rPr>
          <w:rFonts w:ascii="Arial" w:eastAsia="Times New Roman" w:hAnsi="Arial" w:cs="Arial"/>
          <w:color w:val="000000"/>
          <w:sz w:val="24"/>
          <w:szCs w:val="24"/>
        </w:rPr>
        <w:t>PLoS</w:t>
      </w:r>
      <w:proofErr w:type="spellEnd"/>
      <w:r w:rsidRPr="005665FF">
        <w:rPr>
          <w:rFonts w:ascii="Arial" w:eastAsia="Times New Roman" w:hAnsi="Arial" w:cs="Arial"/>
          <w:color w:val="000000"/>
          <w:sz w:val="24"/>
          <w:szCs w:val="24"/>
        </w:rPr>
        <w:t xml:space="preserve"> Med, 2019, volume 16, number 2, p. e1002745.</w:t>
      </w:r>
    </w:p>
    <w:p w14:paraId="7825C9A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49" w:tgtFrame="_blank" w:history="1">
        <w:r w:rsidRPr="005665FF">
          <w:rPr>
            <w:rFonts w:ascii="Arial" w:eastAsia="Times New Roman" w:hAnsi="Arial" w:cs="Arial"/>
            <w:color w:val="1155CC"/>
            <w:sz w:val="24"/>
            <w:szCs w:val="24"/>
            <w:u w:val="single"/>
          </w:rPr>
          <w:t>https://journals.plos.org/plosmedicine/article?id=10.1371/journal.pmed.1002745</w:t>
        </w:r>
      </w:hyperlink>
      <w:r w:rsidRPr="005665FF">
        <w:rPr>
          <w:rFonts w:ascii="Arial" w:eastAsia="Times New Roman" w:hAnsi="Arial" w:cs="Arial"/>
          <w:color w:val="000000"/>
          <w:sz w:val="24"/>
          <w:szCs w:val="24"/>
        </w:rPr>
        <w:t>.</w:t>
      </w:r>
    </w:p>
    <w:p w14:paraId="5CB5FDE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4CDB93D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BACKGROUND: The emergence and spread of multidrug-resistant Plasmodium falciparum in the Greater Mekong Subregion (GMS) threatens global malaria elimination efforts. Mass drug administration (MDA), the presumptive antimalarial treatment of an entire population to clear the subclinical parasite reservoir, is a strategy to accelerate malaria elimination. We report a cluster </w:t>
      </w:r>
      <w:proofErr w:type="spellStart"/>
      <w:r w:rsidRPr="005665FF">
        <w:rPr>
          <w:rFonts w:ascii="Arial" w:eastAsia="Times New Roman" w:hAnsi="Arial" w:cs="Arial"/>
          <w:color w:val="000000"/>
          <w:sz w:val="24"/>
          <w:szCs w:val="24"/>
        </w:rPr>
        <w:t>randomised</w:t>
      </w:r>
      <w:proofErr w:type="spellEnd"/>
      <w:r w:rsidRPr="005665FF">
        <w:rPr>
          <w:rFonts w:ascii="Arial" w:eastAsia="Times New Roman" w:hAnsi="Arial" w:cs="Arial"/>
          <w:color w:val="000000"/>
          <w:sz w:val="24"/>
          <w:szCs w:val="24"/>
        </w:rPr>
        <w:t xml:space="preserve"> trial to assess the effectiveness of </w:t>
      </w:r>
      <w:proofErr w:type="spellStart"/>
      <w:r w:rsidRPr="005665FF">
        <w:rPr>
          <w:rFonts w:ascii="Arial" w:eastAsia="Times New Roman" w:hAnsi="Arial" w:cs="Arial"/>
          <w:color w:val="000000"/>
          <w:sz w:val="24"/>
          <w:szCs w:val="24"/>
        </w:rPr>
        <w:t>dihydroartemisinin</w:t>
      </w:r>
      <w:proofErr w:type="spellEnd"/>
      <w:r w:rsidRPr="005665FF">
        <w:rPr>
          <w:rFonts w:ascii="Arial" w:eastAsia="Times New Roman" w:hAnsi="Arial" w:cs="Arial"/>
          <w:color w:val="000000"/>
          <w:sz w:val="24"/>
          <w:szCs w:val="24"/>
        </w:rPr>
        <w:t xml:space="preserve">-piperaquine (DP) MDA in reducing falciparum malaria incidence and prevalence in 16 remote village populations in Myanmar, Vietnam, Cambodia, and the Lao People's Democratic Republic, where artemisinin resistance is prevalent. METHODS AND FINDINGS: After establishing vector control and community-based case management and following intensive community engagement, we used restricted </w:t>
      </w:r>
      <w:proofErr w:type="spellStart"/>
      <w:r w:rsidRPr="005665FF">
        <w:rPr>
          <w:rFonts w:ascii="Arial" w:eastAsia="Times New Roman" w:hAnsi="Arial" w:cs="Arial"/>
          <w:color w:val="000000"/>
          <w:sz w:val="24"/>
          <w:szCs w:val="24"/>
        </w:rPr>
        <w:t>randomisation</w:t>
      </w:r>
      <w:proofErr w:type="spellEnd"/>
      <w:r w:rsidRPr="005665FF">
        <w:rPr>
          <w:rFonts w:ascii="Arial" w:eastAsia="Times New Roman" w:hAnsi="Arial" w:cs="Arial"/>
          <w:color w:val="000000"/>
          <w:sz w:val="24"/>
          <w:szCs w:val="24"/>
        </w:rPr>
        <w:t xml:space="preserve"> within village pairs to select 8 villages to receive early DP MDA and 8 villages as controls for 12 months, after which the control villages received deferred DP MDA. The MDA comprised 3 monthly rounds of 3 daily doses of DP and, except in Cambodia, a single low dose of primaquine. We conducted exhaustive cross-sectional surveys of the entire population of each village at quarterly intervals using ultrasensitive quantitative PCR to detect Plasmodium infections. The study was conducted between May 2013 and July 2017. The investigators </w:t>
      </w:r>
      <w:proofErr w:type="spellStart"/>
      <w:r w:rsidRPr="005665FF">
        <w:rPr>
          <w:rFonts w:ascii="Arial" w:eastAsia="Times New Roman" w:hAnsi="Arial" w:cs="Arial"/>
          <w:color w:val="000000"/>
          <w:sz w:val="24"/>
          <w:szCs w:val="24"/>
        </w:rPr>
        <w:t>randomised</w:t>
      </w:r>
      <w:proofErr w:type="spellEnd"/>
      <w:r w:rsidRPr="005665FF">
        <w:rPr>
          <w:rFonts w:ascii="Arial" w:eastAsia="Times New Roman" w:hAnsi="Arial" w:cs="Arial"/>
          <w:color w:val="000000"/>
          <w:sz w:val="24"/>
          <w:szCs w:val="24"/>
        </w:rPr>
        <w:t xml:space="preserve"> 16 villages that had a total of 8,445 residents at the start of the study. Of these 8,445 residents, 4,135 (49%) residents living in 8 villages, plus an additional 288 newcomers to the villages, were </w:t>
      </w:r>
      <w:proofErr w:type="spellStart"/>
      <w:r w:rsidRPr="005665FF">
        <w:rPr>
          <w:rFonts w:ascii="Arial" w:eastAsia="Times New Roman" w:hAnsi="Arial" w:cs="Arial"/>
          <w:color w:val="000000"/>
          <w:sz w:val="24"/>
          <w:szCs w:val="24"/>
        </w:rPr>
        <w:t>randomised</w:t>
      </w:r>
      <w:proofErr w:type="spellEnd"/>
      <w:r w:rsidRPr="005665FF">
        <w:rPr>
          <w:rFonts w:ascii="Arial" w:eastAsia="Times New Roman" w:hAnsi="Arial" w:cs="Arial"/>
          <w:color w:val="000000"/>
          <w:sz w:val="24"/>
          <w:szCs w:val="24"/>
        </w:rPr>
        <w:t xml:space="preserve"> to receive early MDA; 3,790 out of the 4,423 (86%) participated in at least 1 MDA round, and 2,520 out of the 4,423 (57%) participated in all 3 rounds. The primary outcome, P. falciparum prevalence by month 3 (M3), fell by 92% (from 5.1% [171/3,340] to 0.4% [12/2,828]) in early MDA villages and by 29% (from 7.2% [246/3,405] to 5.1% [155/3,057]) in control villages. Over the following 9 months, the P. falciparum prevalence increased to 3.3% (96/2,881) in early MDA villages and to 6.1% (128/2,101) in control villages (adjusted incidence rate ratio 0.41 [95% CI 0.20 to 0.84]; p = 0.015). Individual protection was proportional to the number of completed MDA rounds. Of 221 participants with subclinical P. falciparum infections who participated in MDA and could be followed up, 207 (94%) cleared their infections, including 9 of 10 with artemisinin- and piperaquine-resistant infections. The DP MDAs were well tolerated; 6 severe adverse events were detected during the follow-up period, but none was attributable to the intervention. CONCLUSIONS: Added to community-based basic malaria control measures, 3 monthly rounds of DP MDA reduced the incidence and prevalence of falciparum malaria over a 1-year period in areas affected by artemisinin resistance. P. falciparum infections returned during the follow-up period as the remaining infections spread and malaria was reintroduced from surrounding areas. Limitations of this study include a relatively small sample of villages, heterogeneity between villages, and mobility of villagers that may have limited the impact of the intervention. These results suggest that, if used as part of a comprehensive, well-</w:t>
      </w:r>
      <w:proofErr w:type="spellStart"/>
      <w:r w:rsidRPr="005665FF">
        <w:rPr>
          <w:rFonts w:ascii="Arial" w:eastAsia="Times New Roman" w:hAnsi="Arial" w:cs="Arial"/>
          <w:color w:val="000000"/>
          <w:sz w:val="24"/>
          <w:szCs w:val="24"/>
        </w:rPr>
        <w:t>organised</w:t>
      </w:r>
      <w:proofErr w:type="spellEnd"/>
      <w:r w:rsidRPr="005665FF">
        <w:rPr>
          <w:rFonts w:ascii="Arial" w:eastAsia="Times New Roman" w:hAnsi="Arial" w:cs="Arial"/>
          <w:color w:val="000000"/>
          <w:sz w:val="24"/>
          <w:szCs w:val="24"/>
        </w:rPr>
        <w:t xml:space="preserve">, and well-resourced elimination </w:t>
      </w:r>
      <w:proofErr w:type="spellStart"/>
      <w:r w:rsidRPr="005665FF">
        <w:rPr>
          <w:rFonts w:ascii="Arial" w:eastAsia="Times New Roman" w:hAnsi="Arial" w:cs="Arial"/>
          <w:color w:val="000000"/>
          <w:sz w:val="24"/>
          <w:szCs w:val="24"/>
        </w:rPr>
        <w:t>programme</w:t>
      </w:r>
      <w:proofErr w:type="spellEnd"/>
      <w:r w:rsidRPr="005665FF">
        <w:rPr>
          <w:rFonts w:ascii="Arial" w:eastAsia="Times New Roman" w:hAnsi="Arial" w:cs="Arial"/>
          <w:color w:val="000000"/>
          <w:sz w:val="24"/>
          <w:szCs w:val="24"/>
        </w:rPr>
        <w:t>, DP MDA can be a useful additional tool to accelerate malaria elimination. TRIAL REGISTRATION: ClinicalTrials.gov NCT01872702.</w:t>
      </w:r>
    </w:p>
    <w:p w14:paraId="1EC2722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521D5F1"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lastRenderedPageBreak/>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24A2D322" w14:textId="4E193194"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158A8E5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F82F139"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96" w:name="m_8873885906141426999__Toc2349101"/>
      <w:r w:rsidRPr="005665FF">
        <w:rPr>
          <w:rFonts w:ascii="Calibri" w:eastAsia="Times New Roman" w:hAnsi="Calibri" w:cs="Calibri"/>
          <w:b/>
          <w:bCs/>
          <w:color w:val="800000"/>
        </w:rPr>
        <w:t>Implementation of national action plans on noncommunicable diseases, Bhutan, Cambodia, Indonesia, Philippines, Sri Lanka, Thailand and Viet Nam.</w:t>
      </w:r>
      <w:bookmarkEnd w:id="96"/>
    </w:p>
    <w:p w14:paraId="5D6D073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Titiporn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Tuangratananon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Sangay</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Wangmo</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Nimali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Widanapathirana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Suladda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Pongutta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Shaheda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Viriyathorn</w:t>
      </w:r>
      <w:proofErr w:type="spellEnd"/>
      <w:r w:rsidRPr="005665FF">
        <w:rPr>
          <w:rFonts w:ascii="Arial" w:eastAsia="Times New Roman" w:hAnsi="Arial" w:cs="Arial"/>
          <w:color w:val="000000"/>
          <w:sz w:val="24"/>
          <w:szCs w:val="24"/>
        </w:rPr>
        <w:t xml:space="preserve"> and others. Bulletin of the World Health Organization, 2019, volume 97, number 2, pp. 129-141.</w:t>
      </w:r>
    </w:p>
    <w:p w14:paraId="3ABA142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50" w:tgtFrame="_blank" w:history="1">
        <w:r w:rsidRPr="005665FF">
          <w:rPr>
            <w:rFonts w:ascii="Arial" w:eastAsia="Times New Roman" w:hAnsi="Arial" w:cs="Arial"/>
            <w:color w:val="1155CC"/>
            <w:sz w:val="24"/>
            <w:szCs w:val="24"/>
            <w:u w:val="single"/>
          </w:rPr>
          <w:t>https://www.ncbi.nlm.nih.gov/pmc/articles/PMC6357573/</w:t>
        </w:r>
      </w:hyperlink>
    </w:p>
    <w:p w14:paraId="0FA41A3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hyperlink r:id="rId51" w:tgtFrame="_blank" w:history="1">
        <w:r w:rsidRPr="005665FF">
          <w:rPr>
            <w:rFonts w:ascii="Arial" w:eastAsia="Times New Roman" w:hAnsi="Arial" w:cs="Arial"/>
            <w:color w:val="1155CC"/>
            <w:sz w:val="24"/>
            <w:szCs w:val="24"/>
            <w:u w:val="single"/>
          </w:rPr>
          <w:t>https://www.ncbi.nlm.nih.gov/pmc/PMC6357573/</w:t>
        </w:r>
      </w:hyperlink>
      <w:r w:rsidRPr="005665FF">
        <w:rPr>
          <w:rFonts w:ascii="Arial" w:eastAsia="Times New Roman" w:hAnsi="Arial" w:cs="Arial"/>
          <w:color w:val="000000"/>
          <w:sz w:val="24"/>
          <w:szCs w:val="24"/>
        </w:rPr>
        <w:t>.</w:t>
      </w:r>
    </w:p>
    <w:p w14:paraId="258DDDF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E87F7A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By 2016, Member States of the World Health Organization (WHO) had developed and implemented national action plans on noncommunicable diseases in line with the Global action plan for the prevention and control of noncommunicable diseases (2013–2020). In 2018, we assessed the implementation status of the recommended best-buy noncommunicable diseases interventions in seven Asian countries: Bhutan, Cambodia, Indonesia, Philippines, Sri Lanka, Thailand and Viet Nam. We gathered data from a range of published reports and directly from health ministries. We included interventions that addressed the use of tobacco and alcohol, inadequate physical activity and high salt intake, as well as health-systems responses, and we identified gaps and proposed solutions. In 2018, progress was uneven across countries. Implementation gaps were largely due to inadequate funding; limited institutional capacity (despite designated noncommunicable diseases units); inadequate action across different sectors within and outside the health system; and a lack of standardized monitoring and evaluation mechanisms to inform policies. To address implementation gaps, governments need to invest more in effective interventions such as the WHO-recommended best-buy interventions, improve action across different sectors, and enhance capacity in monitoring and evaluation and in research. Learning from the Framework Convention on Tobacco Control, the WHO and international partners should develop a standardized, comprehensive monitoring tool on alcohol, salt and unhealthy food consumption, physical activity and health-systems response.</w:t>
      </w:r>
    </w:p>
    <w:p w14:paraId="5133EB9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FE14B8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97" w:name="m_8873885906141426999__Toc2349102"/>
      <w:r w:rsidRPr="005665FF">
        <w:rPr>
          <w:rFonts w:ascii="Calibri" w:eastAsia="Times New Roman" w:hAnsi="Calibri" w:cs="Calibri"/>
          <w:b/>
          <w:bCs/>
          <w:color w:val="800000"/>
        </w:rPr>
        <w:t>Knowledge, Preference, and Willingness to Pay for Hepatitis B Vaccination Services among Woman of Reproductive Age in Vietnam.</w:t>
      </w:r>
      <w:bookmarkEnd w:id="97"/>
    </w:p>
    <w:p w14:paraId="111C68A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Anh Tuan Le Nguyen, Xuan Thanh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Le, </w:t>
      </w:r>
      <w:proofErr w:type="spellStart"/>
      <w:r w:rsidRPr="005665FF">
        <w:rPr>
          <w:rFonts w:ascii="Arial" w:eastAsia="Times New Roman" w:hAnsi="Arial" w:cs="Arial"/>
          <w:color w:val="000000"/>
          <w:sz w:val="24"/>
          <w:szCs w:val="24"/>
        </w:rPr>
        <w:t>Toan</w:t>
      </w:r>
      <w:proofErr w:type="spellEnd"/>
      <w:r w:rsidRPr="005665FF">
        <w:rPr>
          <w:rFonts w:ascii="Arial" w:eastAsia="Times New Roman" w:hAnsi="Arial" w:cs="Arial"/>
          <w:color w:val="000000"/>
          <w:sz w:val="24"/>
          <w:szCs w:val="24"/>
        </w:rPr>
        <w:t xml:space="preserve"> Thanh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Do, </w:t>
      </w:r>
      <w:proofErr w:type="spellStart"/>
      <w:r w:rsidRPr="005665FF">
        <w:rPr>
          <w:rFonts w:ascii="Arial" w:eastAsia="Times New Roman" w:hAnsi="Arial" w:cs="Arial"/>
          <w:color w:val="000000"/>
          <w:sz w:val="24"/>
          <w:szCs w:val="24"/>
        </w:rPr>
        <w:t>Cuong</w:t>
      </w:r>
      <w:proofErr w:type="spellEnd"/>
      <w:r w:rsidRPr="005665FF">
        <w:rPr>
          <w:rFonts w:ascii="Arial" w:eastAsia="Times New Roman" w:hAnsi="Arial" w:cs="Arial"/>
          <w:color w:val="000000"/>
          <w:sz w:val="24"/>
          <w:szCs w:val="24"/>
        </w:rPr>
        <w:t xml:space="preserve"> Tat Nguyen, Long Hoang Nguyen and others. BioMed Research International, 2019.</w:t>
      </w:r>
    </w:p>
    <w:p w14:paraId="09E8390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Free full text </w:t>
      </w:r>
      <w:hyperlink r:id="rId52" w:tgtFrame="_blank" w:history="1">
        <w:r w:rsidRPr="005665FF">
          <w:rPr>
            <w:rFonts w:ascii="Arial" w:eastAsia="Times New Roman" w:hAnsi="Arial" w:cs="Arial"/>
            <w:color w:val="1155CC"/>
            <w:sz w:val="24"/>
            <w:szCs w:val="24"/>
            <w:u w:val="single"/>
          </w:rPr>
          <w:t>http://downloads.hindawi.com/journals/bmri/2019/9154918.pdf</w:t>
        </w:r>
      </w:hyperlink>
      <w:r w:rsidRPr="005665FF">
        <w:rPr>
          <w:rFonts w:ascii="Arial" w:eastAsia="Times New Roman" w:hAnsi="Arial" w:cs="Arial"/>
          <w:color w:val="000000"/>
          <w:sz w:val="24"/>
          <w:szCs w:val="24"/>
        </w:rPr>
        <w:t>.</w:t>
      </w:r>
    </w:p>
    <w:p w14:paraId="2CE13B6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7B1BC0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Background. Hepatitis B virus (HBV) vaccine is a critical approach to prevent HBV transmission from mother to child. However, despite high HBV prevalence, evidence about the preference of women of productive age for HBV vaccine in Vietnam was constrained. Tis study aims to explore the preference and willingness to pay (WTP) for the HBV vaccine in Vietnamese women in productive age. Methods. A cross-sectional study was conducted in Hanoi in April 2016. A structured questionnaire was used to collect information about respondents’ socioeconomic status and knowledge about HBV vaccination. A contingent valuation approach was employed to measure the WTP for the HBV vaccine. Logistic and interval regressions were used to determine the associated factors. Results. Among 807 women, 80.8% were willing to have the vaccine injected which had the average price of 108,600 VND (95% CI, 97,580 VND–119,570 VND). Participants not </w:t>
      </w:r>
      <w:proofErr w:type="spellStart"/>
      <w:r w:rsidRPr="005665FF">
        <w:rPr>
          <w:rFonts w:ascii="Arial" w:eastAsia="Times New Roman" w:hAnsi="Arial" w:cs="Arial"/>
          <w:color w:val="000000"/>
          <w:sz w:val="24"/>
          <w:szCs w:val="24"/>
        </w:rPr>
        <w:t>sufering</w:t>
      </w:r>
      <w:proofErr w:type="spellEnd"/>
      <w:r w:rsidRPr="005665FF">
        <w:rPr>
          <w:rFonts w:ascii="Arial" w:eastAsia="Times New Roman" w:hAnsi="Arial" w:cs="Arial"/>
          <w:color w:val="000000"/>
          <w:sz w:val="24"/>
          <w:szCs w:val="24"/>
        </w:rPr>
        <w:t xml:space="preserve"> any diseases during pregnancy were more likely to be willing to pay for the HBV vaccine (OR = 3.41, 95% CI = 1.73–6.70). Not having the antenatal examination at central hospitals and working as farmers/workers were positively correlated with willingness to pay for this vaccine, while the number of children of respondents had a negative correlation with WTP. Conclusions. Our sampled women expressed a high willingness to pay for the vaccine. </w:t>
      </w:r>
      <w:proofErr w:type="spellStart"/>
      <w:r w:rsidRPr="005665FF">
        <w:rPr>
          <w:rFonts w:ascii="Arial" w:eastAsia="Times New Roman" w:hAnsi="Arial" w:cs="Arial"/>
          <w:color w:val="000000"/>
          <w:sz w:val="24"/>
          <w:szCs w:val="24"/>
        </w:rPr>
        <w:t>Te</w:t>
      </w:r>
      <w:proofErr w:type="spellEnd"/>
      <w:r w:rsidRPr="005665FF">
        <w:rPr>
          <w:rFonts w:ascii="Arial" w:eastAsia="Times New Roman" w:hAnsi="Arial" w:cs="Arial"/>
          <w:color w:val="000000"/>
          <w:sz w:val="24"/>
          <w:szCs w:val="24"/>
        </w:rPr>
        <w:t xml:space="preserve"> price people were willing to pay for the vaccine, however, is equal to half of the actual price. </w:t>
      </w:r>
      <w:proofErr w:type="spellStart"/>
      <w:r w:rsidRPr="005665FF">
        <w:rPr>
          <w:rFonts w:ascii="Arial" w:eastAsia="Times New Roman" w:hAnsi="Arial" w:cs="Arial"/>
          <w:color w:val="000000"/>
          <w:sz w:val="24"/>
          <w:szCs w:val="24"/>
        </w:rPr>
        <w:t>Tese</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fndings</w:t>
      </w:r>
      <w:proofErr w:type="spellEnd"/>
      <w:r w:rsidRPr="005665FF">
        <w:rPr>
          <w:rFonts w:ascii="Arial" w:eastAsia="Times New Roman" w:hAnsi="Arial" w:cs="Arial"/>
          <w:color w:val="000000"/>
          <w:sz w:val="24"/>
          <w:szCs w:val="24"/>
        </w:rPr>
        <w:t xml:space="preserve"> implied needs for better targeted public education interventions about HBV and the involvement of local medical </w:t>
      </w:r>
      <w:proofErr w:type="spellStart"/>
      <w:r w:rsidRPr="005665FF">
        <w:rPr>
          <w:rFonts w:ascii="Arial" w:eastAsia="Times New Roman" w:hAnsi="Arial" w:cs="Arial"/>
          <w:color w:val="000000"/>
          <w:sz w:val="24"/>
          <w:szCs w:val="24"/>
        </w:rPr>
        <w:t>stafs</w:t>
      </w:r>
      <w:proofErr w:type="spellEnd"/>
      <w:r w:rsidRPr="005665FF">
        <w:rPr>
          <w:rFonts w:ascii="Arial" w:eastAsia="Times New Roman" w:hAnsi="Arial" w:cs="Arial"/>
          <w:color w:val="000000"/>
          <w:sz w:val="24"/>
          <w:szCs w:val="24"/>
        </w:rPr>
        <w:t xml:space="preserve"> and the media in providing information. </w:t>
      </w:r>
      <w:proofErr w:type="spellStart"/>
      <w:r w:rsidRPr="005665FF">
        <w:rPr>
          <w:rFonts w:ascii="Arial" w:eastAsia="Times New Roman" w:hAnsi="Arial" w:cs="Arial"/>
          <w:color w:val="000000"/>
          <w:sz w:val="24"/>
          <w:szCs w:val="24"/>
        </w:rPr>
        <w:t>Eforts</w:t>
      </w:r>
      <w:proofErr w:type="spellEnd"/>
      <w:r w:rsidRPr="005665FF">
        <w:rPr>
          <w:rFonts w:ascii="Arial" w:eastAsia="Times New Roman" w:hAnsi="Arial" w:cs="Arial"/>
          <w:color w:val="000000"/>
          <w:sz w:val="24"/>
          <w:szCs w:val="24"/>
        </w:rPr>
        <w:t xml:space="preserve"> to reduce the price of the vaccine should also be warranted for scaling-up the coverage of this vaccine.</w:t>
      </w:r>
    </w:p>
    <w:p w14:paraId="58876D4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AA1EB33"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5E78059F" w14:textId="40C8D80C"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3D7C93E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F4206E3"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98" w:name="m_8873885906141426999__Toc2349103"/>
      <w:proofErr w:type="spellStart"/>
      <w:r w:rsidRPr="005665FF">
        <w:rPr>
          <w:rFonts w:ascii="Calibri" w:eastAsia="Times New Roman" w:hAnsi="Calibri" w:cs="Calibri"/>
          <w:b/>
          <w:bCs/>
          <w:color w:val="800000"/>
        </w:rPr>
        <w:t>Paediatric</w:t>
      </w:r>
      <w:proofErr w:type="spellEnd"/>
      <w:r w:rsidRPr="005665FF">
        <w:rPr>
          <w:rFonts w:ascii="Calibri" w:eastAsia="Times New Roman" w:hAnsi="Calibri" w:cs="Calibri"/>
          <w:b/>
          <w:bCs/>
          <w:color w:val="800000"/>
        </w:rPr>
        <w:t xml:space="preserve"> use of antibiotics in children with community acquired pneumonia: A survey from Da Nang, Vietnam.</w:t>
      </w:r>
      <w:bookmarkEnd w:id="98"/>
    </w:p>
    <w:p w14:paraId="530F1EB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Phuong TK Nguyen, Hoang T Tran, Huong TT Truong, Vu T Nguyen, Steve M Graham and others. Journal of </w:t>
      </w:r>
      <w:proofErr w:type="spellStart"/>
      <w:r w:rsidRPr="005665FF">
        <w:rPr>
          <w:rFonts w:ascii="Arial" w:eastAsia="Times New Roman" w:hAnsi="Arial" w:cs="Arial"/>
          <w:color w:val="000000"/>
          <w:sz w:val="24"/>
          <w:szCs w:val="24"/>
        </w:rPr>
        <w:t>Paediatrics</w:t>
      </w:r>
      <w:proofErr w:type="spellEnd"/>
      <w:r w:rsidRPr="005665FF">
        <w:rPr>
          <w:rFonts w:ascii="Arial" w:eastAsia="Times New Roman" w:hAnsi="Arial" w:cs="Arial"/>
          <w:color w:val="000000"/>
          <w:sz w:val="24"/>
          <w:szCs w:val="24"/>
        </w:rPr>
        <w:t xml:space="preserve"> and Child Health, 2019.</w:t>
      </w:r>
    </w:p>
    <w:p w14:paraId="061AFE4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4996D1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Aim To </w:t>
      </w:r>
      <w:proofErr w:type="spellStart"/>
      <w:r w:rsidRPr="005665FF">
        <w:rPr>
          <w:rFonts w:ascii="Arial" w:eastAsia="Times New Roman" w:hAnsi="Arial" w:cs="Arial"/>
          <w:color w:val="000000"/>
          <w:sz w:val="24"/>
          <w:szCs w:val="24"/>
        </w:rPr>
        <w:t>characterise</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paediatricians'</w:t>
      </w:r>
      <w:proofErr w:type="spellEnd"/>
      <w:r w:rsidRPr="005665FF">
        <w:rPr>
          <w:rFonts w:ascii="Arial" w:eastAsia="Times New Roman" w:hAnsi="Arial" w:cs="Arial"/>
          <w:color w:val="000000"/>
          <w:sz w:val="24"/>
          <w:szCs w:val="24"/>
        </w:rPr>
        <w:t xml:space="preserve"> antibiotic-prescribing </w:t>
      </w:r>
      <w:proofErr w:type="spellStart"/>
      <w:r w:rsidRPr="005665FF">
        <w:rPr>
          <w:rFonts w:ascii="Arial" w:eastAsia="Times New Roman" w:hAnsi="Arial" w:cs="Arial"/>
          <w:color w:val="000000"/>
          <w:sz w:val="24"/>
          <w:szCs w:val="24"/>
        </w:rPr>
        <w:t>behaviour</w:t>
      </w:r>
      <w:proofErr w:type="spellEnd"/>
      <w:r w:rsidRPr="005665FF">
        <w:rPr>
          <w:rFonts w:ascii="Arial" w:eastAsia="Times New Roman" w:hAnsi="Arial" w:cs="Arial"/>
          <w:color w:val="000000"/>
          <w:sz w:val="24"/>
          <w:szCs w:val="24"/>
        </w:rPr>
        <w:t xml:space="preserve"> when managing community acquired pneumonia. Methods We conducted a knowledge and attitudes survey of </w:t>
      </w:r>
      <w:proofErr w:type="spellStart"/>
      <w:r w:rsidRPr="005665FF">
        <w:rPr>
          <w:rFonts w:ascii="Arial" w:eastAsia="Times New Roman" w:hAnsi="Arial" w:cs="Arial"/>
          <w:color w:val="000000"/>
          <w:sz w:val="24"/>
          <w:szCs w:val="24"/>
        </w:rPr>
        <w:t>paediatric</w:t>
      </w:r>
      <w:proofErr w:type="spellEnd"/>
      <w:r w:rsidRPr="005665FF">
        <w:rPr>
          <w:rFonts w:ascii="Arial" w:eastAsia="Times New Roman" w:hAnsi="Arial" w:cs="Arial"/>
          <w:color w:val="000000"/>
          <w:sz w:val="24"/>
          <w:szCs w:val="24"/>
        </w:rPr>
        <w:t xml:space="preserve"> doctors practicing at a regional provincial hospital in central Vietnam over a 2-week period (from 12 December 2017 to 29 December 2017). </w:t>
      </w:r>
      <w:r w:rsidRPr="005665FF">
        <w:rPr>
          <w:rFonts w:ascii="Arial" w:eastAsia="Times New Roman" w:hAnsi="Arial" w:cs="Arial"/>
          <w:color w:val="000000"/>
          <w:sz w:val="24"/>
          <w:szCs w:val="24"/>
        </w:rPr>
        <w:lastRenderedPageBreak/>
        <w:t xml:space="preserve">Results Of 79 eligible </w:t>
      </w:r>
      <w:proofErr w:type="spellStart"/>
      <w:r w:rsidRPr="005665FF">
        <w:rPr>
          <w:rFonts w:ascii="Arial" w:eastAsia="Times New Roman" w:hAnsi="Arial" w:cs="Arial"/>
          <w:color w:val="000000"/>
          <w:sz w:val="24"/>
          <w:szCs w:val="24"/>
        </w:rPr>
        <w:t>paediatric</w:t>
      </w:r>
      <w:proofErr w:type="spellEnd"/>
      <w:r w:rsidRPr="005665FF">
        <w:rPr>
          <w:rFonts w:ascii="Arial" w:eastAsia="Times New Roman" w:hAnsi="Arial" w:cs="Arial"/>
          <w:color w:val="000000"/>
          <w:sz w:val="24"/>
          <w:szCs w:val="24"/>
        </w:rPr>
        <w:t xml:space="preserve"> doctors, 69 (87.3%) completed the questionnaire, of whom 65 (94.2%) thought that antibiotics were overused in Vietnam. Thirty-eight doctors (55.1%) indicated that they routinely </w:t>
      </w:r>
      <w:proofErr w:type="spellStart"/>
      <w:r w:rsidRPr="005665FF">
        <w:rPr>
          <w:rFonts w:ascii="Arial" w:eastAsia="Times New Roman" w:hAnsi="Arial" w:cs="Arial"/>
          <w:color w:val="000000"/>
          <w:sz w:val="24"/>
          <w:szCs w:val="24"/>
        </w:rPr>
        <w:t>hospitalised</w:t>
      </w:r>
      <w:proofErr w:type="spellEnd"/>
      <w:r w:rsidRPr="005665FF">
        <w:rPr>
          <w:rFonts w:ascii="Arial" w:eastAsia="Times New Roman" w:hAnsi="Arial" w:cs="Arial"/>
          <w:color w:val="000000"/>
          <w:sz w:val="24"/>
          <w:szCs w:val="24"/>
        </w:rPr>
        <w:t xml:space="preserve"> children with pneumonia to provide intravenous antibiotics. Most doctors reported discharging children with non-severe pneumonia after 5 days (76.9%) and those with severe pneumonia after 7–10 days (88.4%); older doctors generally continued intravenous antibiotics for longer. The two most important factors driving discharge decisions were clinical assessment (95.6%) and completion of the full course of intravenous antibiotics (80.0%). Antibiotic prescription was influenced by local guidelines (62.3%), drugs used before admission (50.0%) and the opinion of senior clinicians (37.7%). Most doctors believed antibiotic stewardship was necessary (98.6%) and that over-the-counter use of antibiotics should be restricted (97.1%). Conclusions </w:t>
      </w:r>
      <w:proofErr w:type="spellStart"/>
      <w:r w:rsidRPr="005665FF">
        <w:rPr>
          <w:rFonts w:ascii="Arial" w:eastAsia="Times New Roman" w:hAnsi="Arial" w:cs="Arial"/>
          <w:color w:val="000000"/>
          <w:sz w:val="24"/>
          <w:szCs w:val="24"/>
        </w:rPr>
        <w:t>Paediatricians</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recognised</w:t>
      </w:r>
      <w:proofErr w:type="spellEnd"/>
      <w:r w:rsidRPr="005665FF">
        <w:rPr>
          <w:rFonts w:ascii="Arial" w:eastAsia="Times New Roman" w:hAnsi="Arial" w:cs="Arial"/>
          <w:color w:val="000000"/>
          <w:sz w:val="24"/>
          <w:szCs w:val="24"/>
        </w:rPr>
        <w:t xml:space="preserve"> an urgent need for more effective regulation and antibiotic stewardship in Vietnam. Routinely completing a full course of intravenous antibiotics leads to unnecessary and prolonged </w:t>
      </w:r>
      <w:proofErr w:type="spellStart"/>
      <w:r w:rsidRPr="005665FF">
        <w:rPr>
          <w:rFonts w:ascii="Arial" w:eastAsia="Times New Roman" w:hAnsi="Arial" w:cs="Arial"/>
          <w:color w:val="000000"/>
          <w:sz w:val="24"/>
          <w:szCs w:val="24"/>
        </w:rPr>
        <w:t>hospitalisation</w:t>
      </w:r>
      <w:proofErr w:type="spellEnd"/>
      <w:r w:rsidRPr="005665FF">
        <w:rPr>
          <w:rFonts w:ascii="Arial" w:eastAsia="Times New Roman" w:hAnsi="Arial" w:cs="Arial"/>
          <w:color w:val="000000"/>
          <w:sz w:val="24"/>
          <w:szCs w:val="24"/>
        </w:rPr>
        <w:t>.</w:t>
      </w:r>
    </w:p>
    <w:p w14:paraId="1CFAE4E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02C015A"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99" w:name="m_8873885906141426999__Toc2349104"/>
      <w:r w:rsidRPr="005665FF">
        <w:rPr>
          <w:rFonts w:ascii="Calibri" w:eastAsia="Times New Roman" w:hAnsi="Calibri" w:cs="Calibri"/>
          <w:b/>
          <w:bCs/>
          <w:color w:val="800000"/>
        </w:rPr>
        <w:t>The possible zoonotic diseases transferring from pig to human in Vietnam.</w:t>
      </w:r>
      <w:bookmarkEnd w:id="99"/>
    </w:p>
    <w:p w14:paraId="133CC39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Dinh</w:t>
      </w:r>
      <w:proofErr w:type="spellEnd"/>
      <w:r w:rsidRPr="005665FF">
        <w:rPr>
          <w:rFonts w:ascii="Arial" w:eastAsia="Times New Roman" w:hAnsi="Arial" w:cs="Arial"/>
          <w:color w:val="000000"/>
          <w:sz w:val="24"/>
          <w:szCs w:val="24"/>
        </w:rPr>
        <w:t xml:space="preserve">-Toi Chu, Tran </w:t>
      </w:r>
      <w:proofErr w:type="spellStart"/>
      <w:r w:rsidRPr="005665FF">
        <w:rPr>
          <w:rFonts w:ascii="Arial" w:eastAsia="Times New Roman" w:hAnsi="Arial" w:cs="Arial"/>
          <w:color w:val="000000"/>
          <w:sz w:val="24"/>
          <w:szCs w:val="24"/>
        </w:rPr>
        <w:t>Uyen</w:t>
      </w:r>
      <w:proofErr w:type="spellEnd"/>
      <w:r w:rsidRPr="005665FF">
        <w:rPr>
          <w:rFonts w:ascii="Arial" w:eastAsia="Times New Roman" w:hAnsi="Arial" w:cs="Arial"/>
          <w:color w:val="000000"/>
          <w:sz w:val="24"/>
          <w:szCs w:val="24"/>
        </w:rPr>
        <w:t xml:space="preserve"> Ngoc, </w:t>
      </w:r>
      <w:proofErr w:type="spellStart"/>
      <w:r w:rsidRPr="005665FF">
        <w:rPr>
          <w:rFonts w:ascii="Arial" w:eastAsia="Times New Roman" w:hAnsi="Arial" w:cs="Arial"/>
          <w:color w:val="000000"/>
          <w:sz w:val="24"/>
          <w:szCs w:val="24"/>
        </w:rPr>
        <w:t>Thien</w:t>
      </w:r>
      <w:proofErr w:type="spellEnd"/>
      <w:r w:rsidRPr="005665FF">
        <w:rPr>
          <w:rFonts w:ascii="Arial" w:eastAsia="Times New Roman" w:hAnsi="Arial" w:cs="Arial"/>
          <w:color w:val="000000"/>
          <w:sz w:val="24"/>
          <w:szCs w:val="24"/>
        </w:rPr>
        <w:t xml:space="preserve"> Chu-</w:t>
      </w:r>
      <w:proofErr w:type="spellStart"/>
      <w:r w:rsidRPr="005665FF">
        <w:rPr>
          <w:rFonts w:ascii="Arial" w:eastAsia="Times New Roman" w:hAnsi="Arial" w:cs="Arial"/>
          <w:color w:val="000000"/>
          <w:sz w:val="24"/>
          <w:szCs w:val="24"/>
        </w:rPr>
        <w:t>Dinh</w:t>
      </w:r>
      <w:proofErr w:type="spellEnd"/>
      <w:r w:rsidRPr="005665FF">
        <w:rPr>
          <w:rFonts w:ascii="Arial" w:eastAsia="Times New Roman" w:hAnsi="Arial" w:cs="Arial"/>
          <w:color w:val="000000"/>
          <w:sz w:val="24"/>
          <w:szCs w:val="24"/>
        </w:rPr>
        <w:t xml:space="preserve">, Vo Truong </w:t>
      </w:r>
      <w:proofErr w:type="spellStart"/>
      <w:r w:rsidRPr="005665FF">
        <w:rPr>
          <w:rFonts w:ascii="Arial" w:eastAsia="Times New Roman" w:hAnsi="Arial" w:cs="Arial"/>
          <w:color w:val="000000"/>
          <w:sz w:val="24"/>
          <w:szCs w:val="24"/>
        </w:rPr>
        <w:t>Nhu</w:t>
      </w:r>
      <w:proofErr w:type="spellEnd"/>
      <w:r w:rsidRPr="005665FF">
        <w:rPr>
          <w:rFonts w:ascii="Arial" w:eastAsia="Times New Roman" w:hAnsi="Arial" w:cs="Arial"/>
          <w:color w:val="000000"/>
          <w:sz w:val="24"/>
          <w:szCs w:val="24"/>
        </w:rPr>
        <w:t xml:space="preserve"> Ngoc, Bui Van Nhon and others. European Journal of Clinical Microbiology &amp; Infectious Diseases, 2019.</w:t>
      </w:r>
    </w:p>
    <w:p w14:paraId="1D2784C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01D2D0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Southeast Asia is considered one of worldwide hotspots consisting many distinct zoonotic infections. With optimal condition for the development of various pathogens, Vietnam is facing serious risks of zoonotic diseases. Besides, more than 50% Vietnamese people settle in rustic areas and earn their livings through small-scale animal breeding. It is possible that zoonotic diseases can be easily spread to the population by close contact with the infected animals, their infected residues, contaminated water, soil, or other possible means of transmission. In fact, zoonotic infections—transmissible infections between vertebrate animals and humans—cover a wide range of diseases with distinctive clinical and epidemiological highlights. With insufficient understanding and swift alteration in toxicity of the pathogens, these infections have gained more concerns due to sophisticated routes of transmission and harmful threats to humans. Recently emerging viral diseases exerted potential dangers to human beings, which required many countries to impose immediate actions to prevent any complications. Vietnam has recorded several cases of zoonotic diseases, especially pig-related illnesses; however, the studies on these diseases in this country remain limited. This work aims to highlight the zoonotic diseases transferring from pigs to humans and discuss risk factors of these diseases in Vietnam.</w:t>
      </w:r>
    </w:p>
    <w:p w14:paraId="4A55D0A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1727788"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59330982" w14:textId="4F607DE3"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1600B4D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342581A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00" w:name="m_8873885906141426999__Toc2349105"/>
      <w:r w:rsidRPr="005665FF">
        <w:rPr>
          <w:rFonts w:ascii="Calibri" w:eastAsia="Times New Roman" w:hAnsi="Calibri" w:cs="Calibri"/>
          <w:b/>
          <w:bCs/>
          <w:color w:val="800000"/>
        </w:rPr>
        <w:t xml:space="preserve">Prevalence and Risk Factors of Dengue Infection in </w:t>
      </w:r>
      <w:proofErr w:type="spellStart"/>
      <w:r w:rsidRPr="005665FF">
        <w:rPr>
          <w:rFonts w:ascii="Calibri" w:eastAsia="Times New Roman" w:hAnsi="Calibri" w:cs="Calibri"/>
          <w:b/>
          <w:bCs/>
          <w:color w:val="800000"/>
        </w:rPr>
        <w:t>Khanh</w:t>
      </w:r>
      <w:proofErr w:type="spellEnd"/>
      <w:r w:rsidRPr="005665FF">
        <w:rPr>
          <w:rFonts w:ascii="Calibri" w:eastAsia="Times New Roman" w:hAnsi="Calibri" w:cs="Calibri"/>
          <w:b/>
          <w:bCs/>
          <w:color w:val="800000"/>
        </w:rPr>
        <w:t xml:space="preserve"> </w:t>
      </w:r>
      <w:proofErr w:type="spellStart"/>
      <w:r w:rsidRPr="005665FF">
        <w:rPr>
          <w:rFonts w:ascii="Calibri" w:eastAsia="Times New Roman" w:hAnsi="Calibri" w:cs="Calibri"/>
          <w:b/>
          <w:bCs/>
          <w:color w:val="800000"/>
        </w:rPr>
        <w:t>Hoa</w:t>
      </w:r>
      <w:proofErr w:type="spellEnd"/>
      <w:r w:rsidRPr="005665FF">
        <w:rPr>
          <w:rFonts w:ascii="Calibri" w:eastAsia="Times New Roman" w:hAnsi="Calibri" w:cs="Calibri"/>
          <w:b/>
          <w:bCs/>
          <w:color w:val="800000"/>
        </w:rPr>
        <w:t xml:space="preserve"> Province, Viet Nam: A Stratified Cluster Sampling Survey.</w:t>
      </w:r>
      <w:bookmarkEnd w:id="100"/>
    </w:p>
    <w:p w14:paraId="1DECBC3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Vien</w:t>
      </w:r>
      <w:proofErr w:type="spellEnd"/>
      <w:r w:rsidRPr="005665FF">
        <w:rPr>
          <w:rFonts w:ascii="Arial" w:eastAsia="Times New Roman" w:hAnsi="Arial" w:cs="Arial"/>
          <w:color w:val="000000"/>
          <w:sz w:val="24"/>
          <w:szCs w:val="24"/>
        </w:rPr>
        <w:t xml:space="preserve"> Quang Mai, Trinh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Xuan Mai, Ngo Le Minh Tam, Le </w:t>
      </w:r>
      <w:proofErr w:type="spellStart"/>
      <w:r w:rsidRPr="005665FF">
        <w:rPr>
          <w:rFonts w:ascii="Arial" w:eastAsia="Times New Roman" w:hAnsi="Arial" w:cs="Arial"/>
          <w:color w:val="000000"/>
          <w:sz w:val="24"/>
          <w:szCs w:val="24"/>
        </w:rPr>
        <w:t>Trung</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Nghia</w:t>
      </w:r>
      <w:proofErr w:type="spellEnd"/>
      <w:r w:rsidRPr="005665FF">
        <w:rPr>
          <w:rFonts w:ascii="Arial" w:eastAsia="Times New Roman" w:hAnsi="Arial" w:cs="Arial"/>
          <w:color w:val="000000"/>
          <w:sz w:val="24"/>
          <w:szCs w:val="24"/>
        </w:rPr>
        <w:t xml:space="preserve">, Kenichi </w:t>
      </w:r>
      <w:proofErr w:type="spellStart"/>
      <w:r w:rsidRPr="005665FF">
        <w:rPr>
          <w:rFonts w:ascii="Arial" w:eastAsia="Times New Roman" w:hAnsi="Arial" w:cs="Arial"/>
          <w:color w:val="000000"/>
          <w:sz w:val="24"/>
          <w:szCs w:val="24"/>
        </w:rPr>
        <w:t>Komada</w:t>
      </w:r>
      <w:proofErr w:type="spellEnd"/>
      <w:r w:rsidRPr="005665FF">
        <w:rPr>
          <w:rFonts w:ascii="Arial" w:eastAsia="Times New Roman" w:hAnsi="Arial" w:cs="Arial"/>
          <w:color w:val="000000"/>
          <w:sz w:val="24"/>
          <w:szCs w:val="24"/>
        </w:rPr>
        <w:t xml:space="preserve"> and others. J Epidemiol, 2018, volume 28, number 12, pp. 488-497.</w:t>
      </w:r>
    </w:p>
    <w:p w14:paraId="1DFC5E5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53" w:tgtFrame="_blank" w:history="1">
        <w:r w:rsidRPr="005665FF">
          <w:rPr>
            <w:rFonts w:ascii="Arial" w:eastAsia="Times New Roman" w:hAnsi="Arial" w:cs="Arial"/>
            <w:color w:val="1155CC"/>
            <w:sz w:val="24"/>
            <w:szCs w:val="24"/>
            <w:u w:val="single"/>
          </w:rPr>
          <w:t>https://www.ncbi.nlm.nih.gov/pmc/articles/PMC6242784/</w:t>
        </w:r>
      </w:hyperlink>
      <w:r w:rsidRPr="005665FF">
        <w:rPr>
          <w:rFonts w:ascii="Arial" w:eastAsia="Times New Roman" w:hAnsi="Arial" w:cs="Arial"/>
          <w:color w:val="000000"/>
          <w:sz w:val="24"/>
          <w:szCs w:val="24"/>
        </w:rPr>
        <w:t>.</w:t>
      </w:r>
    </w:p>
    <w:p w14:paraId="75BB444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C38605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BACKGROUND: Dengue is a clinically important arthropod-borne viral disease with increasing global incidence. Here we aimed to estimate the prevalence of dengue infections in </w:t>
      </w:r>
      <w:proofErr w:type="spellStart"/>
      <w:r w:rsidRPr="005665FF">
        <w:rPr>
          <w:rFonts w:ascii="Arial" w:eastAsia="Times New Roman" w:hAnsi="Arial" w:cs="Arial"/>
          <w:color w:val="000000"/>
          <w:sz w:val="24"/>
          <w:szCs w:val="24"/>
        </w:rPr>
        <w:t>Khanh</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Province, central Viet Nam, and to identify risk factors for infection. METHODS: We performed a stratified cluster sampling survey including residents of 3-60 years of age in </w:t>
      </w:r>
      <w:proofErr w:type="spellStart"/>
      <w:r w:rsidRPr="005665FF">
        <w:rPr>
          <w:rFonts w:ascii="Arial" w:eastAsia="Times New Roman" w:hAnsi="Arial" w:cs="Arial"/>
          <w:color w:val="000000"/>
          <w:sz w:val="24"/>
          <w:szCs w:val="24"/>
        </w:rPr>
        <w:t>Nha</w:t>
      </w:r>
      <w:proofErr w:type="spellEnd"/>
      <w:r w:rsidRPr="005665FF">
        <w:rPr>
          <w:rFonts w:ascii="Arial" w:eastAsia="Times New Roman" w:hAnsi="Arial" w:cs="Arial"/>
          <w:color w:val="000000"/>
          <w:sz w:val="24"/>
          <w:szCs w:val="24"/>
        </w:rPr>
        <w:t xml:space="preserve"> Trang City, </w:t>
      </w:r>
      <w:proofErr w:type="spellStart"/>
      <w:r w:rsidRPr="005665FF">
        <w:rPr>
          <w:rFonts w:ascii="Arial" w:eastAsia="Times New Roman" w:hAnsi="Arial" w:cs="Arial"/>
          <w:color w:val="000000"/>
          <w:sz w:val="24"/>
          <w:szCs w:val="24"/>
        </w:rPr>
        <w:t>Ninh</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District and </w:t>
      </w:r>
      <w:proofErr w:type="spellStart"/>
      <w:r w:rsidRPr="005665FF">
        <w:rPr>
          <w:rFonts w:ascii="Arial" w:eastAsia="Times New Roman" w:hAnsi="Arial" w:cs="Arial"/>
          <w:color w:val="000000"/>
          <w:sz w:val="24"/>
          <w:szCs w:val="24"/>
        </w:rPr>
        <w:t>Dien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Khanh</w:t>
      </w:r>
      <w:proofErr w:type="spellEnd"/>
      <w:r w:rsidRPr="005665FF">
        <w:rPr>
          <w:rFonts w:ascii="Arial" w:eastAsia="Times New Roman" w:hAnsi="Arial" w:cs="Arial"/>
          <w:color w:val="000000"/>
          <w:sz w:val="24"/>
          <w:szCs w:val="24"/>
        </w:rPr>
        <w:t xml:space="preserve"> District, </w:t>
      </w:r>
      <w:proofErr w:type="spellStart"/>
      <w:r w:rsidRPr="005665FF">
        <w:rPr>
          <w:rFonts w:ascii="Arial" w:eastAsia="Times New Roman" w:hAnsi="Arial" w:cs="Arial"/>
          <w:color w:val="000000"/>
          <w:sz w:val="24"/>
          <w:szCs w:val="24"/>
        </w:rPr>
        <w:t>Khanh</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Province, in October 2011. Immunoglobulin G (IgG) and immunoglobulin M (IgM) against dengue were analyzed using a rapid test kit. Participants completed a questionnaire exploring clinical dengue incidence, socio-economic status, and individual behavior. A household checklist was used to examine environment, mosquito larvae presence, and exposure to public health interventions. RESULTS: IgG positivity was 20.5% (urban, 16.3%; rural, 23.0%), IgM positivity was 6.7% (urban, 6.4%; rural, 6.9%), and incidence of clinically compatible dengue during the prior 3 months was 2.8 per 1,000 persons (urban, 1.7; rural, 3.4). For IgG positivity, the adjusted odds ratio (AOR) was 2.68 (95% confidence interval [CI], 1.24-5.81) for mosquito larvae presence in water pooled in old tires and was 3.09 (95% CI, 1.75-5.46) for proximity to a densely inhabited area. For IgM positivity, the AOR was 3.06 (95% CI, 1.50-6.23) for proximity to a densely inhabited area. CONCLUSIONS: Our results indicated rural penetration of dengue infections. Control measures should target densely inhabited areas, and may include clean-up of discarded tires and water-collecting waste.</w:t>
      </w:r>
    </w:p>
    <w:p w14:paraId="09D4DB2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5E71538"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01" w:name="m_8873885906141426999__Toc2349106"/>
      <w:r w:rsidRPr="005665FF">
        <w:rPr>
          <w:rFonts w:ascii="Calibri" w:eastAsia="Times New Roman" w:hAnsi="Calibri" w:cs="Calibri"/>
          <w:b/>
          <w:bCs/>
          <w:color w:val="800000"/>
        </w:rPr>
        <w:t>Prevalence of Hypertension in Vietnam: A Systematic Review and Meta-Analysis.</w:t>
      </w:r>
      <w:bookmarkEnd w:id="101"/>
    </w:p>
    <w:p w14:paraId="4D25E0D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Lana </w:t>
      </w:r>
      <w:proofErr w:type="spellStart"/>
      <w:r w:rsidRPr="005665FF">
        <w:rPr>
          <w:rFonts w:ascii="Arial" w:eastAsia="Times New Roman" w:hAnsi="Arial" w:cs="Arial"/>
          <w:color w:val="000000"/>
          <w:sz w:val="24"/>
          <w:szCs w:val="24"/>
        </w:rPr>
        <w:t>Meiqari</w:t>
      </w:r>
      <w:proofErr w:type="spellEnd"/>
      <w:r w:rsidRPr="005665FF">
        <w:rPr>
          <w:rFonts w:ascii="Arial" w:eastAsia="Times New Roman" w:hAnsi="Arial" w:cs="Arial"/>
          <w:color w:val="000000"/>
          <w:sz w:val="24"/>
          <w:szCs w:val="24"/>
        </w:rPr>
        <w:t xml:space="preserve">, Dirk </w:t>
      </w:r>
      <w:proofErr w:type="spellStart"/>
      <w:r w:rsidRPr="005665FF">
        <w:rPr>
          <w:rFonts w:ascii="Arial" w:eastAsia="Times New Roman" w:hAnsi="Arial" w:cs="Arial"/>
          <w:color w:val="000000"/>
          <w:sz w:val="24"/>
          <w:szCs w:val="24"/>
        </w:rPr>
        <w:t>Essink</w:t>
      </w:r>
      <w:proofErr w:type="spellEnd"/>
      <w:r w:rsidRPr="005665FF">
        <w:rPr>
          <w:rFonts w:ascii="Arial" w:eastAsia="Times New Roman" w:hAnsi="Arial" w:cs="Arial"/>
          <w:color w:val="000000"/>
          <w:sz w:val="24"/>
          <w:szCs w:val="24"/>
        </w:rPr>
        <w:t xml:space="preserve">, Pamela Wright and </w:t>
      </w:r>
      <w:proofErr w:type="spellStart"/>
      <w:r w:rsidRPr="005665FF">
        <w:rPr>
          <w:rFonts w:ascii="Arial" w:eastAsia="Times New Roman" w:hAnsi="Arial" w:cs="Arial"/>
          <w:color w:val="000000"/>
          <w:sz w:val="24"/>
          <w:szCs w:val="24"/>
        </w:rPr>
        <w:t>Fedde</w:t>
      </w:r>
      <w:proofErr w:type="spellEnd"/>
      <w:r w:rsidRPr="005665FF">
        <w:rPr>
          <w:rFonts w:ascii="Arial" w:eastAsia="Times New Roman" w:hAnsi="Arial" w:cs="Arial"/>
          <w:color w:val="000000"/>
          <w:sz w:val="24"/>
          <w:szCs w:val="24"/>
        </w:rPr>
        <w:t xml:space="preserve"> Scheele. Asia Pacific Journal of Public Health, 2019, p. 1010539518824810.</w:t>
      </w:r>
    </w:p>
    <w:p w14:paraId="412F1CE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54" w:tgtFrame="_blank" w:history="1">
        <w:r w:rsidRPr="005665FF">
          <w:rPr>
            <w:rFonts w:ascii="Arial" w:eastAsia="Times New Roman" w:hAnsi="Arial" w:cs="Arial"/>
            <w:color w:val="1155CC"/>
            <w:sz w:val="24"/>
            <w:szCs w:val="24"/>
            <w:u w:val="single"/>
          </w:rPr>
          <w:t>https://doi.org/10.1177/1010539518824810</w:t>
        </w:r>
      </w:hyperlink>
      <w:r w:rsidRPr="005665FF">
        <w:rPr>
          <w:rFonts w:ascii="Arial" w:eastAsia="Times New Roman" w:hAnsi="Arial" w:cs="Arial"/>
          <w:color w:val="000000"/>
          <w:sz w:val="24"/>
          <w:szCs w:val="24"/>
        </w:rPr>
        <w:t>.</w:t>
      </w:r>
    </w:p>
    <w:p w14:paraId="4774955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E9333F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Studies on the prevalence of hypertension in Vietnam have reported various estimates. There is no up-to-date assessment of the evidence on the magnitude of hypertension in Vietnam. Search engines for scientific and gray literature were used to identify relevant records for eligibility screening and quality assessment. Data from </w:t>
      </w:r>
      <w:r w:rsidRPr="005665FF">
        <w:rPr>
          <w:rFonts w:ascii="Arial" w:eastAsia="Times New Roman" w:hAnsi="Arial" w:cs="Arial"/>
          <w:color w:val="000000"/>
          <w:sz w:val="24"/>
          <w:szCs w:val="24"/>
        </w:rPr>
        <w:lastRenderedPageBreak/>
        <w:t>selected articles were extracted using standardized spreadsheets. Statistical analysis included estimating pooled prevalence and odds ratio, heterogeneity evaluation, meta-regression, and subgroup analysis, in addition to sensitivity analysis and publication bias evaluation. The pooled prevalence of measured hypertension in Vietnam was 21.1% (95% confidence interval = 18.5-23.7) based on 10 studies, and 18.4% (95% confidence interval = 15.2-21.8) based on 3 national surveys. Lower pooled prevalence was estimated for hypertension awareness (9.3%) and hypertension treatment (4.7%). The pooled prevalence of measured hypertension is significantly higher among men. The pooled prevalence of measured hypertension and hypertension awareness and treatment were significantly lower in rural settings. There is a need to strengthen efforts for primary and secondary prevention and disease management to reduce morbidity and mortality, especially in rural residence settings.</w:t>
      </w:r>
    </w:p>
    <w:p w14:paraId="503DEF3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DB13127"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730DD775" w14:textId="41B7970F"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750F873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FC3D9A4"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02" w:name="m_8873885906141426999__Toc2349107"/>
      <w:proofErr w:type="spellStart"/>
      <w:r w:rsidRPr="005665FF">
        <w:rPr>
          <w:rFonts w:ascii="Calibri" w:eastAsia="Times New Roman" w:hAnsi="Calibri" w:cs="Calibri"/>
          <w:b/>
          <w:bCs/>
          <w:color w:val="800000"/>
        </w:rPr>
        <w:t>Sero</w:t>
      </w:r>
      <w:proofErr w:type="spellEnd"/>
      <w:r w:rsidRPr="005665FF">
        <w:rPr>
          <w:rFonts w:ascii="Calibri" w:eastAsia="Times New Roman" w:hAnsi="Calibri" w:cs="Calibri"/>
          <w:b/>
          <w:bCs/>
          <w:color w:val="800000"/>
        </w:rPr>
        <w:t>-prevalence surveillance to predict vaccine-preventable disease outbreaks; a lesson from the 2014 measles epidemic in northern Vietnam.</w:t>
      </w:r>
      <w:bookmarkEnd w:id="102"/>
    </w:p>
    <w:p w14:paraId="4781687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Marc </w:t>
      </w:r>
      <w:proofErr w:type="spellStart"/>
      <w:r w:rsidRPr="005665FF">
        <w:rPr>
          <w:rFonts w:ascii="Arial" w:eastAsia="Times New Roman" w:hAnsi="Arial" w:cs="Arial"/>
          <w:color w:val="000000"/>
          <w:sz w:val="24"/>
          <w:szCs w:val="24"/>
        </w:rPr>
        <w:t>Choisy</w:t>
      </w:r>
      <w:proofErr w:type="spellEnd"/>
      <w:r w:rsidRPr="005665FF">
        <w:rPr>
          <w:rFonts w:ascii="Arial" w:eastAsia="Times New Roman" w:hAnsi="Arial" w:cs="Arial"/>
          <w:color w:val="000000"/>
          <w:sz w:val="24"/>
          <w:szCs w:val="24"/>
        </w:rPr>
        <w:t xml:space="preserve">, Trinh Son Tung, Nguyen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Ngoc Diep, Nguyen Tran Hien, Mai Quynh Le and others., 2019.</w:t>
      </w:r>
    </w:p>
    <w:p w14:paraId="4A9212E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55" w:tgtFrame="_blank" w:history="1">
        <w:r w:rsidRPr="005665FF">
          <w:rPr>
            <w:rFonts w:ascii="Arial" w:eastAsia="Times New Roman" w:hAnsi="Arial" w:cs="Arial"/>
            <w:color w:val="1155CC"/>
            <w:sz w:val="24"/>
            <w:szCs w:val="24"/>
            <w:u w:val="single"/>
          </w:rPr>
          <w:t>https://watermark.silverchair.com/ofz030.pdf</w:t>
        </w:r>
      </w:hyperlink>
      <w:r w:rsidRPr="005665FF">
        <w:rPr>
          <w:rFonts w:ascii="Arial" w:eastAsia="Times New Roman" w:hAnsi="Arial" w:cs="Arial"/>
          <w:color w:val="000000"/>
          <w:sz w:val="24"/>
          <w:szCs w:val="24"/>
        </w:rPr>
        <w:t>.</w:t>
      </w:r>
    </w:p>
    <w:p w14:paraId="60ECB23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37DB09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During the first half of 2014 a severe outbreak of measles occurred in northern Vietnam, causing 15,033 confirmed cases and 146 deaths. To evaluate population-level seroprevalence of protection against measles in the period before the outbreak, we made use of an existing age-stratified serum bank, collected over the year prior to the outbreak, between November 2012 and December 2013, from 4 sites across the country (Hanoi, Hue, </w:t>
      </w:r>
      <w:proofErr w:type="spellStart"/>
      <w:r w:rsidRPr="005665FF">
        <w:rPr>
          <w:rFonts w:ascii="Arial" w:eastAsia="Times New Roman" w:hAnsi="Arial" w:cs="Arial"/>
          <w:color w:val="000000"/>
          <w:sz w:val="24"/>
          <w:szCs w:val="24"/>
        </w:rPr>
        <w:t>Dak</w:t>
      </w:r>
      <w:proofErr w:type="spellEnd"/>
      <w:r w:rsidRPr="005665FF">
        <w:rPr>
          <w:rFonts w:ascii="Arial" w:eastAsia="Times New Roman" w:hAnsi="Arial" w:cs="Arial"/>
          <w:color w:val="000000"/>
          <w:sz w:val="24"/>
          <w:szCs w:val="24"/>
        </w:rPr>
        <w:t xml:space="preserve"> Lak and Ho Chi Minh City). Data from the UNICEF’s Multiple Indicator Clustered Surveys (MICS) carried out in Vietnam during the first quarter of 2014 were used to assess the vaccine coverage in 6 ecological regions of Vietnam. Results revealed a large discrepancy between levels of protection as estimated from serology and vaccine coverage as estimated by UNICEF’s MICS. Variation in seroprevalence across locations and age groups corresponded with reported numbers of measles cases, of which most were among the </w:t>
      </w:r>
      <w:proofErr w:type="gramStart"/>
      <w:r w:rsidRPr="005665FF">
        <w:rPr>
          <w:rFonts w:ascii="Arial" w:eastAsia="Times New Roman" w:hAnsi="Arial" w:cs="Arial"/>
          <w:color w:val="000000"/>
          <w:sz w:val="24"/>
          <w:szCs w:val="24"/>
        </w:rPr>
        <w:t>0-2 year-old</w:t>
      </w:r>
      <w:proofErr w:type="gramEnd"/>
      <w:r w:rsidRPr="005665FF">
        <w:rPr>
          <w:rFonts w:ascii="Arial" w:eastAsia="Times New Roman" w:hAnsi="Arial" w:cs="Arial"/>
          <w:color w:val="000000"/>
          <w:sz w:val="24"/>
          <w:szCs w:val="24"/>
        </w:rPr>
        <w:t xml:space="preserve"> age group and in the northern part of the country. Our study presents a strong case in favor of a </w:t>
      </w:r>
      <w:proofErr w:type="spellStart"/>
      <w:r w:rsidRPr="005665FF">
        <w:rPr>
          <w:rFonts w:ascii="Arial" w:eastAsia="Times New Roman" w:hAnsi="Arial" w:cs="Arial"/>
          <w:color w:val="000000"/>
          <w:sz w:val="24"/>
          <w:szCs w:val="24"/>
        </w:rPr>
        <w:t>sero</w:t>
      </w:r>
      <w:proofErr w:type="spellEnd"/>
      <w:r w:rsidRPr="005665FF">
        <w:rPr>
          <w:rFonts w:ascii="Arial" w:eastAsia="Times New Roman" w:hAnsi="Arial" w:cs="Arial"/>
          <w:color w:val="000000"/>
          <w:sz w:val="24"/>
          <w:szCs w:val="24"/>
        </w:rPr>
        <w:t>-surveillance sentinel network that could be used to proactively tune vaccination policies and other public health interventions.</w:t>
      </w:r>
    </w:p>
    <w:p w14:paraId="37EC44B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7E14A1E7"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03" w:name="m_8873885906141426999__Toc2349108"/>
      <w:r w:rsidRPr="005665FF">
        <w:rPr>
          <w:rFonts w:ascii="Calibri" w:eastAsia="Times New Roman" w:hAnsi="Calibri" w:cs="Calibri"/>
          <w:b/>
          <w:bCs/>
          <w:color w:val="800000"/>
        </w:rPr>
        <w:t>Socioeconomic inequalities in alcohol use and some related consequences from a household perspective in Vietnam.</w:t>
      </w:r>
      <w:bookmarkEnd w:id="103"/>
    </w:p>
    <w:p w14:paraId="7894061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Hoang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My Hanh, </w:t>
      </w:r>
      <w:proofErr w:type="spellStart"/>
      <w:r w:rsidRPr="005665FF">
        <w:rPr>
          <w:rFonts w:ascii="Arial" w:eastAsia="Times New Roman" w:hAnsi="Arial" w:cs="Arial"/>
          <w:color w:val="000000"/>
          <w:sz w:val="24"/>
          <w:szCs w:val="24"/>
        </w:rPr>
        <w:t>Sawitri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Assanangkornchai</w:t>
      </w:r>
      <w:proofErr w:type="spellEnd"/>
      <w:r w:rsidRPr="005665FF">
        <w:rPr>
          <w:rFonts w:ascii="Arial" w:eastAsia="Times New Roman" w:hAnsi="Arial" w:cs="Arial"/>
          <w:color w:val="000000"/>
          <w:sz w:val="24"/>
          <w:szCs w:val="24"/>
        </w:rPr>
        <w:t xml:space="preserve">, Alan Frederick </w:t>
      </w:r>
      <w:proofErr w:type="spellStart"/>
      <w:r w:rsidRPr="005665FF">
        <w:rPr>
          <w:rFonts w:ascii="Arial" w:eastAsia="Times New Roman" w:hAnsi="Arial" w:cs="Arial"/>
          <w:color w:val="000000"/>
          <w:sz w:val="24"/>
          <w:szCs w:val="24"/>
        </w:rPr>
        <w:t>Geater</w:t>
      </w:r>
      <w:proofErr w:type="spellEnd"/>
      <w:r w:rsidRPr="005665FF">
        <w:rPr>
          <w:rFonts w:ascii="Arial" w:eastAsia="Times New Roman" w:hAnsi="Arial" w:cs="Arial"/>
          <w:color w:val="000000"/>
          <w:sz w:val="24"/>
          <w:szCs w:val="24"/>
        </w:rPr>
        <w:t xml:space="preserve"> and Vu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Minh Hanh. Drug Alcohol Rev, 2019.</w:t>
      </w:r>
    </w:p>
    <w:p w14:paraId="61B98A6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6003FC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INTRODUCTION AND AIMS: Alcohol-related harm reduction may target individuals, their households or communities. This study investigates the prevalence of and socioeconomic inequalities in alcohol use and alcohol-related consequences (injury, accident, property loss and interpersonal violence) at the family-level. DESIGNS AND METHODS: A cross-sectional survey of 2394 households was conducted in eight provinces from six socioeconomic regions and two metropolitan cities in Vietnam. Family-level alcohol use and injury were computed from individual data, while other measures were on a household basis. </w:t>
      </w:r>
      <w:proofErr w:type="spellStart"/>
      <w:r w:rsidRPr="005665FF">
        <w:rPr>
          <w:rFonts w:ascii="Arial" w:eastAsia="Times New Roman" w:hAnsi="Arial" w:cs="Arial"/>
          <w:color w:val="000000"/>
          <w:sz w:val="24"/>
          <w:szCs w:val="24"/>
        </w:rPr>
        <w:t>Unstandardised</w:t>
      </w:r>
      <w:proofErr w:type="spellEnd"/>
      <w:r w:rsidRPr="005665FF">
        <w:rPr>
          <w:rFonts w:ascii="Arial" w:eastAsia="Times New Roman" w:hAnsi="Arial" w:cs="Arial"/>
          <w:color w:val="000000"/>
          <w:sz w:val="24"/>
          <w:szCs w:val="24"/>
        </w:rPr>
        <w:t xml:space="preserve"> and indirectly </w:t>
      </w:r>
      <w:proofErr w:type="spellStart"/>
      <w:r w:rsidRPr="005665FF">
        <w:rPr>
          <w:rFonts w:ascii="Arial" w:eastAsia="Times New Roman" w:hAnsi="Arial" w:cs="Arial"/>
          <w:color w:val="000000"/>
          <w:sz w:val="24"/>
          <w:szCs w:val="24"/>
        </w:rPr>
        <w:t>standardised</w:t>
      </w:r>
      <w:proofErr w:type="spellEnd"/>
      <w:r w:rsidRPr="005665FF">
        <w:rPr>
          <w:rFonts w:ascii="Arial" w:eastAsia="Times New Roman" w:hAnsi="Arial" w:cs="Arial"/>
          <w:color w:val="000000"/>
          <w:sz w:val="24"/>
          <w:szCs w:val="24"/>
        </w:rPr>
        <w:t xml:space="preserve"> concentration index was used to measure degree of expenditure-based inequality in alcohol use and its consequences. RESULTS: Over the previous 12 months, 88.5% and 46.2% of households had at least one current-drinker and one heavy episodic drinking person, and in 41.7% the heavy episodic drinking person was the breadwinner. About 5.3% of households suffered alcohol-related injury, accident or property loss; 11.4% reported alcohol-related interpersonal violence. Poor and near-poor households suffered the double-burdens of both having heavy episodic drinking person and alcohol-related harm. A modest socioeconomic gradient was observed with all types of drinker, more concentrated among higher living-standard households, especially in urban areas. However, there was a persistent high-level inequality disadvantaging lower living-standard families, especially in rural areas, in suffering all measured alcohol-related harms. DISCUSSION AND CONCLUSIONS: Alcohol use and alcohol-related consequences are highly prevalent in Vietnam. Lower socioeconomic households, especially in rural areas, are important target groups for alcohol-related harm prevention and reduction interventions. The concentration index appeared to be a useful measure of inequalities in alcohol-related harms.</w:t>
      </w:r>
    </w:p>
    <w:p w14:paraId="729AA5E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C2ADADA"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31DA8F9E" w14:textId="131AC6B3"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28C4630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1172FED"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04" w:name="m_8873885906141426999__Toc2349109"/>
      <w:r w:rsidRPr="005665FF">
        <w:rPr>
          <w:rFonts w:ascii="Calibri" w:eastAsia="Times New Roman" w:hAnsi="Calibri" w:cs="Calibri"/>
          <w:b/>
          <w:bCs/>
          <w:color w:val="800000"/>
        </w:rPr>
        <w:t xml:space="preserve">Some experience of Japan in doctoral of nursing education: Quest of balanced research education in coming doctoral course in Nam </w:t>
      </w:r>
      <w:proofErr w:type="spellStart"/>
      <w:r w:rsidRPr="005665FF">
        <w:rPr>
          <w:rFonts w:ascii="Calibri" w:eastAsia="Times New Roman" w:hAnsi="Calibri" w:cs="Calibri"/>
          <w:b/>
          <w:bCs/>
          <w:color w:val="800000"/>
        </w:rPr>
        <w:t>Dinh</w:t>
      </w:r>
      <w:proofErr w:type="spellEnd"/>
      <w:r w:rsidRPr="005665FF">
        <w:rPr>
          <w:rFonts w:ascii="Calibri" w:eastAsia="Times New Roman" w:hAnsi="Calibri" w:cs="Calibri"/>
          <w:b/>
          <w:bCs/>
          <w:color w:val="800000"/>
        </w:rPr>
        <w:t xml:space="preserve"> University of Nursing, Vietnam.</w:t>
      </w:r>
      <w:bookmarkEnd w:id="104"/>
    </w:p>
    <w:p w14:paraId="419655A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Masaki Moriyama. Conference on Capacity and Doctoral Nursing Education 2018, 2018.</w:t>
      </w:r>
    </w:p>
    <w:p w14:paraId="3F6127E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0D45D91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As a pioneer of higher nursing education in Vietnam, Nam </w:t>
      </w:r>
      <w:proofErr w:type="spellStart"/>
      <w:r w:rsidRPr="005665FF">
        <w:rPr>
          <w:rFonts w:ascii="Arial" w:eastAsia="Times New Roman" w:hAnsi="Arial" w:cs="Arial"/>
          <w:color w:val="000000"/>
          <w:sz w:val="24"/>
          <w:szCs w:val="24"/>
        </w:rPr>
        <w:t>Dinh</w:t>
      </w:r>
      <w:proofErr w:type="spellEnd"/>
      <w:r w:rsidRPr="005665FF">
        <w:rPr>
          <w:rFonts w:ascii="Arial" w:eastAsia="Times New Roman" w:hAnsi="Arial" w:cs="Arial"/>
          <w:color w:val="000000"/>
          <w:sz w:val="24"/>
          <w:szCs w:val="24"/>
        </w:rPr>
        <w:t xml:space="preserve"> University of Nursing (NDUN) started the first MSc in Vietnam in 2015, and on December 28, 2018, NDUN has held a conference to prepare for the first doctoral program in Vietnam. This essay was reported at the conference to introduce Japanese experience of higher nursing education. As for the &lt;numbers&gt;, from 1993 to 2018, numbers of master courses increased from 7 to 175, and doctor courses increased from 3 to 94 in Japan (MECSSTJ 2018). A similar increase might be expected in Vietnam. Then what about &lt;research content&gt; there? From my previous experiences of an intensive lecture at NDUN in 2016, quantitative research is valued in Vietnam but students are willing to learn about qualitative research as well (Moriyama 2016). In order to respond to </w:t>
      </w:r>
      <w:proofErr w:type="gramStart"/>
      <w:r w:rsidRPr="005665FF">
        <w:rPr>
          <w:rFonts w:ascii="Arial" w:eastAsia="Times New Roman" w:hAnsi="Arial" w:cs="Arial"/>
          <w:color w:val="000000"/>
          <w:sz w:val="24"/>
          <w:szCs w:val="24"/>
        </w:rPr>
        <w:t>this balanced needs</w:t>
      </w:r>
      <w:proofErr w:type="gramEnd"/>
      <w:r w:rsidRPr="005665FF">
        <w:rPr>
          <w:rFonts w:ascii="Arial" w:eastAsia="Times New Roman" w:hAnsi="Arial" w:cs="Arial"/>
          <w:color w:val="000000"/>
          <w:sz w:val="24"/>
          <w:szCs w:val="24"/>
        </w:rPr>
        <w:t xml:space="preserve"> of research and interests, I introduced a case of St. Luke’s Nursing University, a pioneer of nursing education in Japan, based on research of </w:t>
      </w:r>
      <w:proofErr w:type="spellStart"/>
      <w:r w:rsidRPr="005665FF">
        <w:rPr>
          <w:rFonts w:ascii="Arial" w:eastAsia="Times New Roman" w:hAnsi="Arial" w:cs="Arial"/>
          <w:color w:val="000000"/>
          <w:sz w:val="24"/>
          <w:szCs w:val="24"/>
        </w:rPr>
        <w:t>Arimori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Arimori</w:t>
      </w:r>
      <w:proofErr w:type="spellEnd"/>
      <w:r w:rsidRPr="005665FF">
        <w:rPr>
          <w:rFonts w:ascii="Arial" w:eastAsia="Times New Roman" w:hAnsi="Arial" w:cs="Arial"/>
          <w:color w:val="000000"/>
          <w:sz w:val="24"/>
          <w:szCs w:val="24"/>
        </w:rPr>
        <w:t xml:space="preserve"> et al. 2002). Under the trend of the rapid ageing of society, nursing research that can solve problems in response to the social needs is required. It is not desirable to be biased toward either quantitative research or qualitative research.</w:t>
      </w:r>
    </w:p>
    <w:p w14:paraId="4BA6E67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CE4D852"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05" w:name="m_8873885906141426999__Toc2349110"/>
      <w:r w:rsidRPr="005665FF">
        <w:rPr>
          <w:rFonts w:ascii="Calibri" w:eastAsia="Times New Roman" w:hAnsi="Calibri" w:cs="Calibri"/>
          <w:b/>
          <w:bCs/>
          <w:color w:val="800000"/>
        </w:rPr>
        <w:t xml:space="preserve">Association of ambient air pollution with lengths of hospital stay for </w:t>
      </w:r>
      <w:proofErr w:type="spellStart"/>
      <w:r w:rsidRPr="005665FF">
        <w:rPr>
          <w:rFonts w:ascii="Calibri" w:eastAsia="Times New Roman" w:hAnsi="Calibri" w:cs="Calibri"/>
          <w:b/>
          <w:bCs/>
          <w:color w:val="800000"/>
        </w:rPr>
        <w:t>hanoi</w:t>
      </w:r>
      <w:proofErr w:type="spellEnd"/>
      <w:r w:rsidRPr="005665FF">
        <w:rPr>
          <w:rFonts w:ascii="Calibri" w:eastAsia="Times New Roman" w:hAnsi="Calibri" w:cs="Calibri"/>
          <w:b/>
          <w:bCs/>
          <w:color w:val="800000"/>
        </w:rPr>
        <w:t xml:space="preserve"> children with acute lower-respiratory infection, 2007–2016.</w:t>
      </w:r>
      <w:bookmarkEnd w:id="105"/>
    </w:p>
    <w:p w14:paraId="524BA13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Nguyen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Trang Nhung, Christian Schindler, Tran Minh </w:t>
      </w:r>
      <w:proofErr w:type="spellStart"/>
      <w:r w:rsidRPr="005665FF">
        <w:rPr>
          <w:rFonts w:ascii="Arial" w:eastAsia="Times New Roman" w:hAnsi="Arial" w:cs="Arial"/>
          <w:color w:val="000000"/>
          <w:sz w:val="24"/>
          <w:szCs w:val="24"/>
        </w:rPr>
        <w:t>Dien</w:t>
      </w:r>
      <w:proofErr w:type="spellEnd"/>
      <w:r w:rsidRPr="005665FF">
        <w:rPr>
          <w:rFonts w:ascii="Arial" w:eastAsia="Times New Roman" w:hAnsi="Arial" w:cs="Arial"/>
          <w:color w:val="000000"/>
          <w:sz w:val="24"/>
          <w:szCs w:val="24"/>
        </w:rPr>
        <w:t>, Nicole Probst-</w:t>
      </w:r>
      <w:proofErr w:type="spellStart"/>
      <w:r w:rsidRPr="005665FF">
        <w:rPr>
          <w:rFonts w:ascii="Arial" w:eastAsia="Times New Roman" w:hAnsi="Arial" w:cs="Arial"/>
          <w:color w:val="000000"/>
          <w:sz w:val="24"/>
          <w:szCs w:val="24"/>
        </w:rPr>
        <w:t>Hensch</w:t>
      </w:r>
      <w:proofErr w:type="spellEnd"/>
      <w:r w:rsidRPr="005665FF">
        <w:rPr>
          <w:rFonts w:ascii="Arial" w:eastAsia="Times New Roman" w:hAnsi="Arial" w:cs="Arial"/>
          <w:color w:val="000000"/>
          <w:sz w:val="24"/>
          <w:szCs w:val="24"/>
        </w:rPr>
        <w:t xml:space="preserve"> and Nino </w:t>
      </w:r>
      <w:proofErr w:type="spellStart"/>
      <w:r w:rsidRPr="005665FF">
        <w:rPr>
          <w:rFonts w:ascii="Arial" w:eastAsia="Times New Roman" w:hAnsi="Arial" w:cs="Arial"/>
          <w:color w:val="000000"/>
          <w:sz w:val="24"/>
          <w:szCs w:val="24"/>
        </w:rPr>
        <w:t>Künzli</w:t>
      </w:r>
      <w:proofErr w:type="spellEnd"/>
      <w:r w:rsidRPr="005665FF">
        <w:rPr>
          <w:rFonts w:ascii="Arial" w:eastAsia="Times New Roman" w:hAnsi="Arial" w:cs="Arial"/>
          <w:color w:val="000000"/>
          <w:sz w:val="24"/>
          <w:szCs w:val="24"/>
        </w:rPr>
        <w:t>. Environmental Pollution, 2019, volume 247, pp. 752-762.</w:t>
      </w:r>
    </w:p>
    <w:p w14:paraId="3A75D77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5D7A11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Introduction The association between ambient air pollution and length of hospital stay (LOS) for children with lower-respiratory infection is unclear. Materials and methods </w:t>
      </w:r>
      <w:proofErr w:type="gramStart"/>
      <w:r w:rsidRPr="005665FF">
        <w:rPr>
          <w:rFonts w:ascii="Arial" w:eastAsia="Times New Roman" w:hAnsi="Arial" w:cs="Arial"/>
          <w:color w:val="000000"/>
          <w:sz w:val="24"/>
          <w:szCs w:val="24"/>
        </w:rPr>
        <w:t>The</w:t>
      </w:r>
      <w:proofErr w:type="gramEnd"/>
      <w:r w:rsidRPr="005665FF">
        <w:rPr>
          <w:rFonts w:ascii="Arial" w:eastAsia="Times New Roman" w:hAnsi="Arial" w:cs="Arial"/>
          <w:color w:val="000000"/>
          <w:sz w:val="24"/>
          <w:szCs w:val="24"/>
        </w:rPr>
        <w:t xml:space="preserve"> association was examined using admission data for 75,432 children in Hanoi, aged 0–5 years, hospitalized with acute lower-respiratory infection (ALRI) and daily air pollutant levels in Hanoi between 2007 and 2016. We estimated the odds ratio of being discharged for an interquartile range (IQR) increment (IQR) of ambient pollutants during one to four days prior to admission date. We used pooled logistic regression models including a B-spline function of calendar time and terms describing the baseline odds, adjusting for meteorological factors, age, gender, residential location, week-day of admission, discharge on weekends or holidays, and number of respiratory hospitalizations one day prior to the discharge date. Results </w:t>
      </w:r>
      <w:proofErr w:type="gramStart"/>
      <w:r w:rsidRPr="005665FF">
        <w:rPr>
          <w:rFonts w:ascii="Arial" w:eastAsia="Times New Roman" w:hAnsi="Arial" w:cs="Arial"/>
          <w:color w:val="000000"/>
          <w:sz w:val="24"/>
          <w:szCs w:val="24"/>
        </w:rPr>
        <w:t>An</w:t>
      </w:r>
      <w:proofErr w:type="gramEnd"/>
      <w:r w:rsidRPr="005665FF">
        <w:rPr>
          <w:rFonts w:ascii="Arial" w:eastAsia="Times New Roman" w:hAnsi="Arial" w:cs="Arial"/>
          <w:color w:val="000000"/>
          <w:sz w:val="24"/>
          <w:szCs w:val="24"/>
        </w:rPr>
        <w:t xml:space="preserve"> IQR increase in O3 concentrations (85.8 </w:t>
      </w:r>
      <w:proofErr w:type="spellStart"/>
      <w:r w:rsidRPr="005665FF">
        <w:rPr>
          <w:rFonts w:ascii="Arial" w:eastAsia="Times New Roman" w:hAnsi="Arial" w:cs="Arial"/>
          <w:color w:val="000000"/>
          <w:sz w:val="24"/>
          <w:szCs w:val="24"/>
        </w:rPr>
        <w:t>μg</w:t>
      </w:r>
      <w:proofErr w:type="spellEnd"/>
      <w:r w:rsidRPr="005665FF">
        <w:rPr>
          <w:rFonts w:ascii="Arial" w:eastAsia="Times New Roman" w:hAnsi="Arial" w:cs="Arial"/>
          <w:color w:val="000000"/>
          <w:sz w:val="24"/>
          <w:szCs w:val="24"/>
        </w:rPr>
        <w:t xml:space="preserve">/m3) was associated with a 5% (95%CI: 2%–8%) decrease in the odds of discharge from hospital among children with ALRI. Results were similar for PM10, but only for children aged 2–5 years. For the other pollutants, corresponding associations were close to null or in the opposite direction. For example, increase in CO was associated with shorter LOS. Conclusions Our study provides the first investigation of the associations between lengths of hospital stays and air pollutant levels prior to hospitalization in Asian children. Increased levels of O3 prior to admission predicted </w:t>
      </w:r>
      <w:r w:rsidRPr="005665FF">
        <w:rPr>
          <w:rFonts w:ascii="Arial" w:eastAsia="Times New Roman" w:hAnsi="Arial" w:cs="Arial"/>
          <w:color w:val="000000"/>
          <w:sz w:val="24"/>
          <w:szCs w:val="24"/>
        </w:rPr>
        <w:lastRenderedPageBreak/>
        <w:t>prolonged hospitalizations. The inconsistencies in the findings for other pollutants call for further investigations.</w:t>
      </w:r>
    </w:p>
    <w:p w14:paraId="4C4B8CF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FB8302B"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096B3CD1" w14:textId="781CA3C8"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7208DF0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961568D"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06" w:name="m_8873885906141426999__Toc2349111"/>
      <w:r w:rsidRPr="005665FF">
        <w:rPr>
          <w:rFonts w:ascii="Calibri" w:eastAsia="Times New Roman" w:hAnsi="Calibri" w:cs="Calibri"/>
          <w:b/>
          <w:bCs/>
          <w:color w:val="800000"/>
        </w:rPr>
        <w:t>Effects of Extreme Temperatures on Mortality and Hospitalization in Ho Chi Minh City, Vietnam.</w:t>
      </w:r>
      <w:bookmarkEnd w:id="106"/>
    </w:p>
    <w:p w14:paraId="064249D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Tran Ngoc Dang, Yasushi Honda, Dung Van Do, Anh Lan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Pham, Cordia Chu and others. International Journal of Environmental Research and Public Health, 2019, volume 16, number 3, p. 432.</w:t>
      </w:r>
    </w:p>
    <w:p w14:paraId="3817CF8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56" w:tgtFrame="_blank" w:history="1">
        <w:r w:rsidRPr="005665FF">
          <w:rPr>
            <w:rFonts w:ascii="Arial" w:eastAsia="Times New Roman" w:hAnsi="Arial" w:cs="Arial"/>
            <w:color w:val="1155CC"/>
            <w:sz w:val="24"/>
            <w:szCs w:val="24"/>
            <w:u w:val="single"/>
          </w:rPr>
          <w:t>http://www.mdpi.com/1660-4601/16/3/432</w:t>
        </w:r>
      </w:hyperlink>
      <w:r w:rsidRPr="005665FF">
        <w:rPr>
          <w:rFonts w:ascii="Arial" w:eastAsia="Times New Roman" w:hAnsi="Arial" w:cs="Arial"/>
          <w:color w:val="000000"/>
          <w:sz w:val="24"/>
          <w:szCs w:val="24"/>
        </w:rPr>
        <w:t>.</w:t>
      </w:r>
    </w:p>
    <w:p w14:paraId="0480D1F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D03065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There is a lack of research focusing on the association of temperature with mortality and hospitalization in developing countries with tropical climates and a low capacity to cope with the influences of extreme weather events. This study aimed to examine and compare the effect of temperature, including heat waves, on mortality and hospitalization in the most populous city of Vietnam. We used quasi-Poisson time series regression coupled with the distributed lag non-linear model (DLNM) to examine the overall pattern and compare the temperature-health outcome relationship. The main and added effects of heat waves were evaluated. The main effect of heat waves significantly increased the risk of all cause-specific mortality. Significant main effects of heat waves on hospitalization were observed only for elderly people and people with respiratory diseases (elderly, relative risk (RR) = 1.28, 95% confidence interval (CI) = 1.14–3.45; respiratory diseases, RR = 1.3, 95% CI = 1.19–1.42). The RRs of the main effect were substantially higher than those of the added effect in mortality; the same was applicable for hospitalizations of people with respiratory diseases and elderly people. The findings of this study have important implications for public health adaptation and prevention program implementation in the protection of residents from the adverse health effects of temperature.</w:t>
      </w:r>
    </w:p>
    <w:p w14:paraId="5816C76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CED13DB"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07" w:name="m_8873885906141426999__Toc2349112"/>
      <w:r w:rsidRPr="005665FF">
        <w:rPr>
          <w:rFonts w:ascii="Calibri" w:eastAsia="Times New Roman" w:hAnsi="Calibri" w:cs="Calibri"/>
          <w:b/>
          <w:bCs/>
          <w:color w:val="800000"/>
        </w:rPr>
        <w:t>Effects of weather on human capital in Vietnam.</w:t>
      </w:r>
      <w:bookmarkEnd w:id="107"/>
    </w:p>
    <w:p w14:paraId="2E1FBD6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Tien </w:t>
      </w:r>
      <w:proofErr w:type="spellStart"/>
      <w:r w:rsidRPr="005665FF">
        <w:rPr>
          <w:rFonts w:ascii="Arial" w:eastAsia="Times New Roman" w:hAnsi="Arial" w:cs="Arial"/>
          <w:color w:val="000000"/>
          <w:sz w:val="24"/>
          <w:szCs w:val="24"/>
        </w:rPr>
        <w:t>Manh</w:t>
      </w:r>
      <w:proofErr w:type="spellEnd"/>
      <w:r w:rsidRPr="005665FF">
        <w:rPr>
          <w:rFonts w:ascii="Arial" w:eastAsia="Times New Roman" w:hAnsi="Arial" w:cs="Arial"/>
          <w:color w:val="000000"/>
          <w:sz w:val="24"/>
          <w:szCs w:val="24"/>
        </w:rPr>
        <w:t xml:space="preserve"> Vu. Asian Growth Research Institute (AGI) Working Paper Series 2019-01, 2019.</w:t>
      </w:r>
    </w:p>
    <w:p w14:paraId="12B21A9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57" w:tgtFrame="_blank" w:history="1">
        <w:r w:rsidRPr="005665FF">
          <w:rPr>
            <w:rFonts w:ascii="Arial" w:eastAsia="Times New Roman" w:hAnsi="Arial" w:cs="Arial"/>
            <w:color w:val="1155CC"/>
            <w:sz w:val="24"/>
            <w:szCs w:val="24"/>
            <w:u w:val="single"/>
          </w:rPr>
          <w:t>https://ideas.repec.org/p/agi/wpaper/00000150.html</w:t>
        </w:r>
      </w:hyperlink>
      <w:r w:rsidRPr="005665FF">
        <w:rPr>
          <w:rFonts w:ascii="Arial" w:eastAsia="Times New Roman" w:hAnsi="Arial" w:cs="Arial"/>
          <w:color w:val="000000"/>
          <w:sz w:val="24"/>
          <w:szCs w:val="24"/>
        </w:rPr>
        <w:t>.</w:t>
      </w:r>
    </w:p>
    <w:p w14:paraId="55B21A1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2C9F05D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This study examines the effects of concurrent weather, corresponding to test sites as well as three-year consolidated weather conditions at high school time, on the math test scores of census examinees participating in the Vietnamese national entrance examinations to universities and colleges on July 4 and 15, 2009. Using individual first difference, I find that the maximum temperature of the day, 30 to 32°C (86-89.6°F), which is slightly below the usual average in all July between the years 1950-2009, benefitted examinees most. My analysis demonstrates that female testers were more vulnerable to harsh temperature and extreme weather but also more physically adaptive to temperature than males. Extreme weather occurring at the high school, especially during the school calendar, has a negative effect on the test scores.</w:t>
      </w:r>
    </w:p>
    <w:p w14:paraId="6BB113F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83254BC"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0358411B" w14:textId="1DE9A111"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6BC64FD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1F203A9"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08" w:name="m_8873885906141426999__Toc2349113"/>
      <w:r w:rsidRPr="005665FF">
        <w:rPr>
          <w:rFonts w:ascii="Calibri" w:eastAsia="Times New Roman" w:hAnsi="Calibri" w:cs="Calibri"/>
          <w:b/>
          <w:bCs/>
          <w:color w:val="800000"/>
        </w:rPr>
        <w:t xml:space="preserve">Exploring affordability and healthcare-seeking </w:t>
      </w:r>
      <w:proofErr w:type="spellStart"/>
      <w:r w:rsidRPr="005665FF">
        <w:rPr>
          <w:rFonts w:ascii="Calibri" w:eastAsia="Times New Roman" w:hAnsi="Calibri" w:cs="Calibri"/>
          <w:b/>
          <w:bCs/>
          <w:color w:val="800000"/>
        </w:rPr>
        <w:t>behaviour</w:t>
      </w:r>
      <w:proofErr w:type="spellEnd"/>
      <w:r w:rsidRPr="005665FF">
        <w:rPr>
          <w:rFonts w:ascii="Calibri" w:eastAsia="Times New Roman" w:hAnsi="Calibri" w:cs="Calibri"/>
          <w:b/>
          <w:bCs/>
          <w:color w:val="800000"/>
        </w:rPr>
        <w:t xml:space="preserve"> for delivery and antenatal care among the poor and ethnic minorities in rural Northwestern Viet Nam.</w:t>
      </w:r>
      <w:bookmarkEnd w:id="108"/>
    </w:p>
    <w:p w14:paraId="2C833D5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Chieko Matsubara, Tai Anh Nguyen and Hitoshi Murakami. Global Health Action, 2019, volume 12, number 1, p. 1556573.</w:t>
      </w:r>
    </w:p>
    <w:p w14:paraId="41D50F5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58" w:tgtFrame="_blank" w:history="1">
        <w:r w:rsidRPr="005665FF">
          <w:rPr>
            <w:rFonts w:ascii="Arial" w:eastAsia="Times New Roman" w:hAnsi="Arial" w:cs="Arial"/>
            <w:color w:val="1155CC"/>
            <w:sz w:val="24"/>
            <w:szCs w:val="24"/>
            <w:u w:val="single"/>
          </w:rPr>
          <w:t>https://doi.org/10.1080/16549716.2018.1556573</w:t>
        </w:r>
      </w:hyperlink>
      <w:r w:rsidRPr="005665FF">
        <w:rPr>
          <w:rFonts w:ascii="Arial" w:eastAsia="Times New Roman" w:hAnsi="Arial" w:cs="Arial"/>
          <w:color w:val="000000"/>
          <w:sz w:val="24"/>
          <w:szCs w:val="24"/>
        </w:rPr>
        <w:t>.</w:t>
      </w:r>
    </w:p>
    <w:p w14:paraId="25BB5E0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0139E1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Background: Health insurance (HI) has been introduced to achieve universal health coverage. In Viet Nam, mandatory HI for the poor and the minorities has been strengthened since 2012.Objective: The study explored affordability and healthcare-seeking </w:t>
      </w:r>
      <w:proofErr w:type="spellStart"/>
      <w:r w:rsidRPr="005665FF">
        <w:rPr>
          <w:rFonts w:ascii="Arial" w:eastAsia="Times New Roman" w:hAnsi="Arial" w:cs="Arial"/>
          <w:color w:val="000000"/>
          <w:sz w:val="24"/>
          <w:szCs w:val="24"/>
        </w:rPr>
        <w:t>behaviour</w:t>
      </w:r>
      <w:proofErr w:type="spellEnd"/>
      <w:r w:rsidRPr="005665FF">
        <w:rPr>
          <w:rFonts w:ascii="Arial" w:eastAsia="Times New Roman" w:hAnsi="Arial" w:cs="Arial"/>
          <w:color w:val="000000"/>
          <w:sz w:val="24"/>
          <w:szCs w:val="24"/>
        </w:rPr>
        <w:t xml:space="preserve"> for delivery and antenatal care (ANC) among the poor and ethnic minority women after HI-reform in rural Northwestern Viet </w:t>
      </w:r>
      <w:proofErr w:type="spellStart"/>
      <w:r w:rsidRPr="005665FF">
        <w:rPr>
          <w:rFonts w:ascii="Arial" w:eastAsia="Times New Roman" w:hAnsi="Arial" w:cs="Arial"/>
          <w:color w:val="000000"/>
          <w:sz w:val="24"/>
          <w:szCs w:val="24"/>
        </w:rPr>
        <w:t>Nam.Methods</w:t>
      </w:r>
      <w:proofErr w:type="spellEnd"/>
      <w:r w:rsidRPr="005665FF">
        <w:rPr>
          <w:rFonts w:ascii="Arial" w:eastAsia="Times New Roman" w:hAnsi="Arial" w:cs="Arial"/>
          <w:color w:val="000000"/>
          <w:sz w:val="24"/>
          <w:szCs w:val="24"/>
        </w:rPr>
        <w:t xml:space="preserve">: A cross-sectional study was conducted in 2014 in Luong Son District, where the ethnic Muong live. Stratified simple random sampling was used to select 315 participants who had delivered a baby in the previous </w:t>
      </w:r>
      <w:proofErr w:type="spellStart"/>
      <w:proofErr w:type="gramStart"/>
      <w:r w:rsidRPr="005665FF">
        <w:rPr>
          <w:rFonts w:ascii="Arial" w:eastAsia="Times New Roman" w:hAnsi="Arial" w:cs="Arial"/>
          <w:color w:val="000000"/>
          <w:sz w:val="24"/>
          <w:szCs w:val="24"/>
        </w:rPr>
        <w:t>year.Results</w:t>
      </w:r>
      <w:proofErr w:type="spellEnd"/>
      <w:proofErr w:type="gramEnd"/>
      <w:r w:rsidRPr="005665FF">
        <w:rPr>
          <w:rFonts w:ascii="Arial" w:eastAsia="Times New Roman" w:hAnsi="Arial" w:cs="Arial"/>
          <w:color w:val="000000"/>
          <w:sz w:val="24"/>
          <w:szCs w:val="24"/>
        </w:rPr>
        <w:t xml:space="preserve">: The HI coverage was 72.7% (229/315) and 30.9% of the mothers were living on less than USD 1.25 per household person per day. HI enrolment was predicted by ethnic minority status (Muong, </w:t>
      </w:r>
      <w:proofErr w:type="spellStart"/>
      <w:r w:rsidRPr="005665FF">
        <w:rPr>
          <w:rFonts w:ascii="Arial" w:eastAsia="Times New Roman" w:hAnsi="Arial" w:cs="Arial"/>
          <w:color w:val="000000"/>
          <w:sz w:val="24"/>
          <w:szCs w:val="24"/>
        </w:rPr>
        <w:t>aOR</w:t>
      </w:r>
      <w:proofErr w:type="spellEnd"/>
      <w:r w:rsidRPr="005665FF">
        <w:rPr>
          <w:rFonts w:ascii="Arial" w:eastAsia="Times New Roman" w:hAnsi="Arial" w:cs="Arial"/>
          <w:color w:val="000000"/>
          <w:sz w:val="24"/>
          <w:szCs w:val="24"/>
        </w:rPr>
        <w:t xml:space="preserve"> 18.3, 95% CI 6.4?52.6), rather than the household income. More than 80% of majority and minority respondents selected the institution by their trust in the quality of its </w:t>
      </w:r>
      <w:proofErr w:type="spellStart"/>
      <w:proofErr w:type="gramStart"/>
      <w:r w:rsidRPr="005665FF">
        <w:rPr>
          <w:rFonts w:ascii="Arial" w:eastAsia="Times New Roman" w:hAnsi="Arial" w:cs="Arial"/>
          <w:color w:val="000000"/>
          <w:sz w:val="24"/>
          <w:szCs w:val="24"/>
        </w:rPr>
        <w:t>care.The</w:t>
      </w:r>
      <w:proofErr w:type="spellEnd"/>
      <w:proofErr w:type="gramEnd"/>
      <w:r w:rsidRPr="005665FF">
        <w:rPr>
          <w:rFonts w:ascii="Arial" w:eastAsia="Times New Roman" w:hAnsi="Arial" w:cs="Arial"/>
          <w:color w:val="000000"/>
          <w:sz w:val="24"/>
          <w:szCs w:val="24"/>
        </w:rPr>
        <w:t xml:space="preserve"> institutional delivery was 100%, irrespective of HI status. The out-of-pocket expenses for normal delivery were significantly smaller for the insured than the uninsured (p &lt; 0.001). The total cost of normal delivery proved to be a catastrophic payment (households spending &gt; 5% of annual household income) for 17.6% and 31.7% of the </w:t>
      </w:r>
      <w:r w:rsidRPr="005665FF">
        <w:rPr>
          <w:rFonts w:ascii="Arial" w:eastAsia="Times New Roman" w:hAnsi="Arial" w:cs="Arial"/>
          <w:color w:val="000000"/>
          <w:sz w:val="24"/>
          <w:szCs w:val="24"/>
        </w:rPr>
        <w:lastRenderedPageBreak/>
        <w:t xml:space="preserve">insured and uninsured, respectively. The average number of ANC visits was more than four times for all quartiles, irrespective of the mothers? HI status; however, all quartiles demonstrated more frequent visits to private clinics than commune health </w:t>
      </w:r>
      <w:proofErr w:type="spellStart"/>
      <w:r w:rsidRPr="005665FF">
        <w:rPr>
          <w:rFonts w:ascii="Arial" w:eastAsia="Times New Roman" w:hAnsi="Arial" w:cs="Arial"/>
          <w:color w:val="000000"/>
          <w:sz w:val="24"/>
          <w:szCs w:val="24"/>
        </w:rPr>
        <w:t>centres</w:t>
      </w:r>
      <w:proofErr w:type="spellEnd"/>
      <w:r w:rsidRPr="005665FF">
        <w:rPr>
          <w:rFonts w:ascii="Arial" w:eastAsia="Times New Roman" w:hAnsi="Arial" w:cs="Arial"/>
          <w:color w:val="000000"/>
          <w:sz w:val="24"/>
          <w:szCs w:val="24"/>
        </w:rPr>
        <w:t xml:space="preserve"> (public facility</w:t>
      </w:r>
      <w:proofErr w:type="gramStart"/>
      <w:r w:rsidRPr="005665FF">
        <w:rPr>
          <w:rFonts w:ascii="Arial" w:eastAsia="Times New Roman" w:hAnsi="Arial" w:cs="Arial"/>
          <w:color w:val="000000"/>
          <w:sz w:val="24"/>
          <w:szCs w:val="24"/>
        </w:rPr>
        <w:t>).Conclusions</w:t>
      </w:r>
      <w:proofErr w:type="gramEnd"/>
      <w:r w:rsidRPr="005665FF">
        <w:rPr>
          <w:rFonts w:ascii="Arial" w:eastAsia="Times New Roman" w:hAnsi="Arial" w:cs="Arial"/>
          <w:color w:val="000000"/>
          <w:sz w:val="24"/>
          <w:szCs w:val="24"/>
        </w:rPr>
        <w:t xml:space="preserve">: The results indicated that Vietnamese HI reform reduced the economic burden for both the poor and ethnic minorities in rural villages. However, further HI reforms should consider ways to reduce the catastrophic payments, fix the role of private facilities for appropriate resource </w:t>
      </w:r>
      <w:proofErr w:type="spellStart"/>
      <w:r w:rsidRPr="005665FF">
        <w:rPr>
          <w:rFonts w:ascii="Arial" w:eastAsia="Times New Roman" w:hAnsi="Arial" w:cs="Arial"/>
          <w:color w:val="000000"/>
          <w:sz w:val="24"/>
          <w:szCs w:val="24"/>
        </w:rPr>
        <w:t>mobilisation</w:t>
      </w:r>
      <w:proofErr w:type="spellEnd"/>
      <w:r w:rsidRPr="005665FF">
        <w:rPr>
          <w:rFonts w:ascii="Arial" w:eastAsia="Times New Roman" w:hAnsi="Arial" w:cs="Arial"/>
          <w:color w:val="000000"/>
          <w:sz w:val="24"/>
          <w:szCs w:val="24"/>
        </w:rPr>
        <w:t>, and enhance the move towards universal health coverage.</w:t>
      </w:r>
    </w:p>
    <w:p w14:paraId="2BA5C1B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106252A"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09" w:name="m_8873885906141426999__Toc2349114"/>
      <w:r w:rsidRPr="005665FF">
        <w:rPr>
          <w:rFonts w:ascii="Calibri" w:eastAsia="Times New Roman" w:hAnsi="Calibri" w:cs="Calibri"/>
          <w:b/>
          <w:bCs/>
          <w:color w:val="800000"/>
        </w:rPr>
        <w:t>Development of the food safety labelling technique for applied business in the Vietnamese retail food industry.</w:t>
      </w:r>
      <w:bookmarkEnd w:id="109"/>
    </w:p>
    <w:p w14:paraId="33CC63E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Eunsung</w:t>
      </w:r>
      <w:proofErr w:type="spellEnd"/>
      <w:r w:rsidRPr="005665FF">
        <w:rPr>
          <w:rFonts w:ascii="Arial" w:eastAsia="Times New Roman" w:hAnsi="Arial" w:cs="Arial"/>
          <w:color w:val="000000"/>
          <w:sz w:val="24"/>
          <w:szCs w:val="24"/>
        </w:rPr>
        <w:t xml:space="preserve"> Kim and Scott McDonald. Innovare Journal of Food Science, 2018, volume 6, number 1.</w:t>
      </w:r>
    </w:p>
    <w:p w14:paraId="4321256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59" w:tgtFrame="_blank" w:history="1">
        <w:r w:rsidRPr="005665FF">
          <w:rPr>
            <w:rFonts w:ascii="Arial" w:eastAsia="Times New Roman" w:hAnsi="Arial" w:cs="Arial"/>
            <w:color w:val="1155CC"/>
            <w:sz w:val="24"/>
            <w:szCs w:val="24"/>
            <w:u w:val="single"/>
          </w:rPr>
          <w:t>https://researchbank.rmit.edu.au/view/rmit:51227</w:t>
        </w:r>
      </w:hyperlink>
      <w:r w:rsidRPr="005665FF">
        <w:rPr>
          <w:rFonts w:ascii="Arial" w:eastAsia="Times New Roman" w:hAnsi="Arial" w:cs="Arial"/>
          <w:color w:val="000000"/>
          <w:sz w:val="24"/>
          <w:szCs w:val="24"/>
        </w:rPr>
        <w:t>.</w:t>
      </w:r>
    </w:p>
    <w:p w14:paraId="69A4B8C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F50CA3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Objective: This paper proposed the design of Kim and McDonald food safety labeling circuit for managing and examining the effectiveness system and food safety risk management in the food industry. Purpose: This study sought to examine whether differences exist in the food safety labeling practices across government policies between two major retail markets in Vietnam and whether differences exist in the retailer's own logotypes between two major retail markets in Vietnam. Methods: Photography was used in an observational study conducted among two separate retail market chains, all located in Ho Chi Minh City, Vietnam. The study focused on identifying which fresh vegetable categories were labeled and thus used as cases in this study. In which ways are the applications of the developed Kim and McDonald food safety labeling circuit between two separate retail food markets similar and dissimilar being accounted for? The data were collected from a sample of two photographs. The results were analyzed by illustrating the government policy of Vietnamese Good Agricultural Practices (</w:t>
      </w:r>
      <w:proofErr w:type="spellStart"/>
      <w:r w:rsidRPr="005665FF">
        <w:rPr>
          <w:rFonts w:ascii="Arial" w:eastAsia="Times New Roman" w:hAnsi="Arial" w:cs="Arial"/>
          <w:color w:val="000000"/>
          <w:sz w:val="24"/>
          <w:szCs w:val="24"/>
        </w:rPr>
        <w:t>VietGAP</w:t>
      </w:r>
      <w:proofErr w:type="spellEnd"/>
      <w:r w:rsidRPr="005665FF">
        <w:rPr>
          <w:rFonts w:ascii="Arial" w:eastAsia="Times New Roman" w:hAnsi="Arial" w:cs="Arial"/>
          <w:color w:val="000000"/>
          <w:sz w:val="24"/>
          <w:szCs w:val="24"/>
        </w:rPr>
        <w:t xml:space="preserve">) and the retailer's own logo. Results: Both retail market chains show that the identified labels consist of both government standards and the retailer's own logo. Conclusion: The use of the design of Kim and McDonald food safety labeling circuit contributes toward convincing consumers of the quality of products when applying the standards of </w:t>
      </w:r>
      <w:proofErr w:type="spellStart"/>
      <w:r w:rsidRPr="005665FF">
        <w:rPr>
          <w:rFonts w:ascii="Arial" w:eastAsia="Times New Roman" w:hAnsi="Arial" w:cs="Arial"/>
          <w:color w:val="000000"/>
          <w:sz w:val="24"/>
          <w:szCs w:val="24"/>
        </w:rPr>
        <w:t>VietGAP</w:t>
      </w:r>
      <w:proofErr w:type="spellEnd"/>
      <w:r w:rsidRPr="005665FF">
        <w:rPr>
          <w:rFonts w:ascii="Arial" w:eastAsia="Times New Roman" w:hAnsi="Arial" w:cs="Arial"/>
          <w:color w:val="000000"/>
          <w:sz w:val="24"/>
          <w:szCs w:val="24"/>
        </w:rPr>
        <w:t xml:space="preserve"> and its strict implementation to meet food safety standards. The purpose of this study is to evaluate how labelling is managed in Vietnam's retail food industry with a special focus on food in Ho Chi Minh City, Vietnam. Furthermore, </w:t>
      </w:r>
      <w:proofErr w:type="gramStart"/>
      <w:r w:rsidRPr="005665FF">
        <w:rPr>
          <w:rFonts w:ascii="Arial" w:eastAsia="Times New Roman" w:hAnsi="Arial" w:cs="Arial"/>
          <w:color w:val="000000"/>
          <w:sz w:val="24"/>
          <w:szCs w:val="24"/>
        </w:rPr>
        <w:t>This</w:t>
      </w:r>
      <w:proofErr w:type="gramEnd"/>
      <w:r w:rsidRPr="005665FF">
        <w:rPr>
          <w:rFonts w:ascii="Arial" w:eastAsia="Times New Roman" w:hAnsi="Arial" w:cs="Arial"/>
          <w:color w:val="000000"/>
          <w:sz w:val="24"/>
          <w:szCs w:val="24"/>
        </w:rPr>
        <w:t xml:space="preserve"> study focuses on the way retailers design and uses their labels to identify produce grown under </w:t>
      </w:r>
      <w:proofErr w:type="spellStart"/>
      <w:r w:rsidRPr="005665FF">
        <w:rPr>
          <w:rFonts w:ascii="Arial" w:eastAsia="Times New Roman" w:hAnsi="Arial" w:cs="Arial"/>
          <w:color w:val="000000"/>
          <w:sz w:val="24"/>
          <w:szCs w:val="24"/>
        </w:rPr>
        <w:t>VietGAP</w:t>
      </w:r>
      <w:proofErr w:type="spellEnd"/>
      <w:r w:rsidRPr="005665FF">
        <w:rPr>
          <w:rFonts w:ascii="Arial" w:eastAsia="Times New Roman" w:hAnsi="Arial" w:cs="Arial"/>
          <w:color w:val="000000"/>
          <w:sz w:val="24"/>
          <w:szCs w:val="24"/>
        </w:rPr>
        <w:t xml:space="preserve"> standards as well as to gain the consumer's trust that other retailers may learn from through this research. After a brief introduction and literature review, the methodology section is followed by ...</w:t>
      </w:r>
    </w:p>
    <w:p w14:paraId="096B3EE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DB19CDF"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lastRenderedPageBreak/>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72582AE8" w14:textId="11DBD3B5"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3B72F91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4CA0BD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10" w:name="m_8873885906141426999__Toc2349115"/>
      <w:r w:rsidRPr="005665FF">
        <w:rPr>
          <w:rFonts w:ascii="Calibri" w:eastAsia="Times New Roman" w:hAnsi="Calibri" w:cs="Calibri"/>
          <w:b/>
          <w:bCs/>
          <w:color w:val="800000"/>
        </w:rPr>
        <w:t>Growth among children infected with HIV receiving Antiretroviral Therapy in Vietnam.</w:t>
      </w:r>
      <w:bookmarkEnd w:id="110"/>
    </w:p>
    <w:p w14:paraId="163625C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Linh Vu Phuong Dang, Hung Viet Pham, Thanh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Dinh</w:t>
      </w:r>
      <w:proofErr w:type="spellEnd"/>
      <w:r w:rsidRPr="005665FF">
        <w:rPr>
          <w:rFonts w:ascii="Arial" w:eastAsia="Times New Roman" w:hAnsi="Arial" w:cs="Arial"/>
          <w:color w:val="000000"/>
          <w:sz w:val="24"/>
          <w:szCs w:val="24"/>
        </w:rPr>
        <w:t>, Hai Thanh Le, Lam Van Nguyen and others. Pediatrics International, 2019.</w:t>
      </w:r>
    </w:p>
    <w:p w14:paraId="365527B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BE1E6E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Background There are currently two markers used to monitor the treatment response to antiretroviral therapy (ART) in HIV infected children including CD4 T cell counts and HIV viral load; however, analyzing these could be challenging in resource-poor countries. Therefore, we would like to determine whether the changes of growth parameters including WAZ (weight-for-age Z scores), HAZ (height-for-age Z scores) and BMIZ (Body mass index-for-age Z scores) are associated with treatment response in HIV infected children. Methods The study was designed as nested case-control study, in which the data were collected at the enrolment and periodically every 6 </w:t>
      </w:r>
      <w:proofErr w:type="gramStart"/>
      <w:r w:rsidRPr="005665FF">
        <w:rPr>
          <w:rFonts w:ascii="Arial" w:eastAsia="Times New Roman" w:hAnsi="Arial" w:cs="Arial"/>
          <w:color w:val="000000"/>
          <w:sz w:val="24"/>
          <w:szCs w:val="24"/>
        </w:rPr>
        <w:t>month</w:t>
      </w:r>
      <w:proofErr w:type="gramEnd"/>
      <w:r w:rsidRPr="005665FF">
        <w:rPr>
          <w:rFonts w:ascii="Arial" w:eastAsia="Times New Roman" w:hAnsi="Arial" w:cs="Arial"/>
          <w:color w:val="000000"/>
          <w:sz w:val="24"/>
          <w:szCs w:val="24"/>
        </w:rPr>
        <w:t xml:space="preserve"> for total 36 month follow-up for 107 HIV infected children enrolled and treated at National Hospital of Pediatrics, Vietnam. Results The data analysis showed that WAZ, HAZ and BMIZ scores were not significantly higher in treatment success compared to those of treatment failure groups at treatment initiation. After ART initiation, we observed increased WAZ and HAZ scores, especially in TS group (from -1.5 to -0.54 P&lt;0.01 and from -2.06 to -0.84, P&lt;0.01, respectively). Low HAZ scores were significantly associated with treatment failure with HR=0.71 (95%CI 0.54 and 0.92). Conclusion We have shown that HAZ scores were the most sensitive growth parameter in prognosis of the treatment response. In order to use growth parameters, particularly HAZ scores as prognosis marker for treatment failure in clinical practice, further research should be conducted to evaluate the role of growth parameters and its effects on treatment response. This article is protected by copyright. All rights reserved.</w:t>
      </w:r>
    </w:p>
    <w:p w14:paraId="24633D8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E3D0EC9"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11" w:name="m_8873885906141426999__Toc2349116"/>
      <w:r w:rsidRPr="005665FF">
        <w:rPr>
          <w:rFonts w:ascii="Calibri" w:eastAsia="Times New Roman" w:hAnsi="Calibri" w:cs="Calibri"/>
          <w:b/>
          <w:bCs/>
          <w:color w:val="800000"/>
        </w:rPr>
        <w:t>HIV- and AIDS-related knowledge and attitude of residents in border regions of Vietnam.</w:t>
      </w:r>
      <w:bookmarkEnd w:id="111"/>
    </w:p>
    <w:p w14:paraId="576CF03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Canh</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Dinh</w:t>
      </w:r>
      <w:proofErr w:type="spellEnd"/>
      <w:r w:rsidRPr="005665FF">
        <w:rPr>
          <w:rFonts w:ascii="Arial" w:eastAsia="Times New Roman" w:hAnsi="Arial" w:cs="Arial"/>
          <w:color w:val="000000"/>
          <w:sz w:val="24"/>
          <w:szCs w:val="24"/>
        </w:rPr>
        <w:t xml:space="preserve"> Hoang, Bach Xuan Tran, </w:t>
      </w:r>
      <w:proofErr w:type="spellStart"/>
      <w:r w:rsidRPr="005665FF">
        <w:rPr>
          <w:rFonts w:ascii="Arial" w:eastAsia="Times New Roman" w:hAnsi="Arial" w:cs="Arial"/>
          <w:color w:val="000000"/>
          <w:sz w:val="24"/>
          <w:szCs w:val="24"/>
        </w:rPr>
        <w:t>Manh</w:t>
      </w:r>
      <w:proofErr w:type="spellEnd"/>
      <w:r w:rsidRPr="005665FF">
        <w:rPr>
          <w:rFonts w:ascii="Arial" w:eastAsia="Times New Roman" w:hAnsi="Arial" w:cs="Arial"/>
          <w:color w:val="000000"/>
          <w:sz w:val="24"/>
          <w:szCs w:val="24"/>
        </w:rPr>
        <w:t xml:space="preserve"> Duc Pham, Long Hoang Nguyen, Ha Ngoc Do and others. Harm Reduction Journal, 2019, volume 16, number 1, p. 11.</w:t>
      </w:r>
    </w:p>
    <w:p w14:paraId="0948347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60" w:tgtFrame="_blank" w:history="1">
        <w:r w:rsidRPr="005665FF">
          <w:rPr>
            <w:rFonts w:ascii="Arial" w:eastAsia="Times New Roman" w:hAnsi="Arial" w:cs="Arial"/>
            <w:color w:val="1155CC"/>
            <w:sz w:val="24"/>
            <w:szCs w:val="24"/>
            <w:u w:val="single"/>
          </w:rPr>
          <w:t>https://doi.org/10.1186/s12954-019-0282-x</w:t>
        </w:r>
      </w:hyperlink>
      <w:r w:rsidRPr="005665FF">
        <w:rPr>
          <w:rFonts w:ascii="Arial" w:eastAsia="Times New Roman" w:hAnsi="Arial" w:cs="Arial"/>
          <w:color w:val="000000"/>
          <w:sz w:val="24"/>
          <w:szCs w:val="24"/>
        </w:rPr>
        <w:t>.</w:t>
      </w:r>
    </w:p>
    <w:p w14:paraId="3212765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95242F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Background: Residents in border areas are vulnerable to HIV/AIDS due to high rates of risk behaviors such as unprotected sexual practices or illicit drug use. Improving knowledge and attitude toward HIV/AIDS prevention and treatment are vital </w:t>
      </w:r>
      <w:r w:rsidRPr="005665FF">
        <w:rPr>
          <w:rFonts w:ascii="Arial" w:eastAsia="Times New Roman" w:hAnsi="Arial" w:cs="Arial"/>
          <w:color w:val="000000"/>
          <w:sz w:val="24"/>
          <w:szCs w:val="24"/>
        </w:rPr>
        <w:lastRenderedPageBreak/>
        <w:t xml:space="preserve">to diminish the burden of the HIV epidemic in this setting. However, evidence about this issue in Vietnam has been limited. This study aims to explore the knowledge and attitude toward HIV/AIDS among people in Vietnam border zones. --- Methods: We conducted a cross-sectional study in three border communes in Thanh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xml:space="preserve"> province with 600 </w:t>
      </w:r>
      <w:proofErr w:type="gramStart"/>
      <w:r w:rsidRPr="005665FF">
        <w:rPr>
          <w:rFonts w:ascii="Arial" w:eastAsia="Times New Roman" w:hAnsi="Arial" w:cs="Arial"/>
          <w:color w:val="000000"/>
          <w:sz w:val="24"/>
          <w:szCs w:val="24"/>
        </w:rPr>
        <w:t>HIV(</w:t>
      </w:r>
      <w:proofErr w:type="gramEnd"/>
      <w:r w:rsidRPr="005665FF">
        <w:rPr>
          <w:rFonts w:ascii="Arial" w:eastAsia="Times New Roman" w:hAnsi="Arial" w:cs="Arial"/>
          <w:color w:val="000000"/>
          <w:sz w:val="24"/>
          <w:szCs w:val="24"/>
        </w:rPr>
        <w:t>−) residents. Data about socio-demographic characteristics, general HIV knowledge, knowledge about prevention of mother-to-child transmission, treatment and care, HIV testing services, and attitude toward HIV/AIDS were collected. Multivariate Tobit regression was used to determine related factors with the knowledge and attitude. --- Results: The highest percentage of people having correct statements was for “HIV could be transmitted from mother to child” (98.2%), while the lowest percentage was for item “Know health facilities where HIV-positive people could register for care and check-up” (28.2%). People had the highest score in “Knowledge about HIV transmission routes” and the lowest score in “Knowledge about HIV/AIDS prevention measures”. Most of the people were not afraid of being exposed to HIV-positive individuals (66.0%), willing to buy goods from HIV-positive sellers (78.9%), and willing to take care of people living with HIV in their family (90.1%). Education, ethnic, marital status, occupations, and HIV/AIDS information sources were found to be associated with knowledge and attitude toward HIV/AIDS. --- Conclusions: The general knowledge and attitude on HIV/AIDS of residents were relatively good. Educational campaigns to improve knowledge and attitude toward PLWH, involving peer educators and local associations, are potential strategies for sustaining HIV intervention in this remote setting.</w:t>
      </w:r>
    </w:p>
    <w:p w14:paraId="33DFDE6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8A46423"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2E6361F2" w14:textId="75A25C37"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35B13C8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B6D03E7"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12" w:name="m_8873885906141426999__Toc2349117"/>
      <w:r w:rsidRPr="005665FF">
        <w:rPr>
          <w:rFonts w:ascii="Calibri" w:eastAsia="Times New Roman" w:hAnsi="Calibri" w:cs="Calibri"/>
          <w:b/>
          <w:bCs/>
          <w:color w:val="800000"/>
        </w:rPr>
        <w:t>HIV knowledge and risk behaviors among drug users in three Vietnamese mountainous provinces.</w:t>
      </w:r>
      <w:bookmarkEnd w:id="112"/>
    </w:p>
    <w:p w14:paraId="503B997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Tam Minh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Nguyen, Bach Xuan Tran, Mercedes Fleming, </w:t>
      </w:r>
      <w:proofErr w:type="spellStart"/>
      <w:r w:rsidRPr="005665FF">
        <w:rPr>
          <w:rFonts w:ascii="Arial" w:eastAsia="Times New Roman" w:hAnsi="Arial" w:cs="Arial"/>
          <w:color w:val="000000"/>
          <w:sz w:val="24"/>
          <w:szCs w:val="24"/>
        </w:rPr>
        <w:t>Manh</w:t>
      </w:r>
      <w:proofErr w:type="spellEnd"/>
      <w:r w:rsidRPr="005665FF">
        <w:rPr>
          <w:rFonts w:ascii="Arial" w:eastAsia="Times New Roman" w:hAnsi="Arial" w:cs="Arial"/>
          <w:color w:val="000000"/>
          <w:sz w:val="24"/>
          <w:szCs w:val="24"/>
        </w:rPr>
        <w:t xml:space="preserve"> Duc Pham, Long Thanh Nguyen and others. </w:t>
      </w:r>
      <w:proofErr w:type="spellStart"/>
      <w:r w:rsidRPr="005665FF">
        <w:rPr>
          <w:rFonts w:ascii="Arial" w:eastAsia="Times New Roman" w:hAnsi="Arial" w:cs="Arial"/>
          <w:color w:val="000000"/>
          <w:sz w:val="24"/>
          <w:szCs w:val="24"/>
        </w:rPr>
        <w:t>Subst</w:t>
      </w:r>
      <w:proofErr w:type="spellEnd"/>
      <w:r w:rsidRPr="005665FF">
        <w:rPr>
          <w:rFonts w:ascii="Arial" w:eastAsia="Times New Roman" w:hAnsi="Arial" w:cs="Arial"/>
          <w:color w:val="000000"/>
          <w:sz w:val="24"/>
          <w:szCs w:val="24"/>
        </w:rPr>
        <w:t xml:space="preserve"> Abuse Treat </w:t>
      </w:r>
      <w:proofErr w:type="spellStart"/>
      <w:r w:rsidRPr="005665FF">
        <w:rPr>
          <w:rFonts w:ascii="Arial" w:eastAsia="Times New Roman" w:hAnsi="Arial" w:cs="Arial"/>
          <w:color w:val="000000"/>
          <w:sz w:val="24"/>
          <w:szCs w:val="24"/>
        </w:rPr>
        <w:t>Prev</w:t>
      </w:r>
      <w:proofErr w:type="spellEnd"/>
      <w:r w:rsidRPr="005665FF">
        <w:rPr>
          <w:rFonts w:ascii="Arial" w:eastAsia="Times New Roman" w:hAnsi="Arial" w:cs="Arial"/>
          <w:color w:val="000000"/>
          <w:sz w:val="24"/>
          <w:szCs w:val="24"/>
        </w:rPr>
        <w:t xml:space="preserve"> Policy, 2019, volume 14, number 1, p. 3.</w:t>
      </w:r>
    </w:p>
    <w:p w14:paraId="197B87C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61" w:tgtFrame="_blank" w:history="1">
        <w:r w:rsidRPr="005665FF">
          <w:rPr>
            <w:rFonts w:ascii="Arial" w:eastAsia="Times New Roman" w:hAnsi="Arial" w:cs="Arial"/>
            <w:color w:val="1155CC"/>
            <w:sz w:val="24"/>
            <w:szCs w:val="24"/>
            <w:u w:val="single"/>
          </w:rPr>
          <w:t>https://www.ncbi.nlm.nih.gov/pmc/articles/PMC6334422/</w:t>
        </w:r>
      </w:hyperlink>
      <w:r w:rsidRPr="005665FF">
        <w:rPr>
          <w:rFonts w:ascii="Arial" w:eastAsia="Times New Roman" w:hAnsi="Arial" w:cs="Arial"/>
          <w:color w:val="000000"/>
          <w:sz w:val="24"/>
          <w:szCs w:val="24"/>
        </w:rPr>
        <w:t>.</w:t>
      </w:r>
    </w:p>
    <w:p w14:paraId="3315C34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4F2362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BACKGROUND: Globally, people who inject drugs are highly vulnerable to HIV transmission. Methadone maintenance treatment (MMT) programs are one of the most cost-effective mechanisms to substitute opioid use and improve the quality of life of patients. Since the coverage of MMT is still limited and even for those patients who are treated, improving their knowledge on HIV and maintaining healthy behaviors are key to maximizing the outcomes of HIV harm reduction programs. This study examined the knowledge on HIV, perceived risk and HIV testing among drug users accessing </w:t>
      </w:r>
      <w:r w:rsidRPr="005665FF">
        <w:rPr>
          <w:rFonts w:ascii="Arial" w:eastAsia="Times New Roman" w:hAnsi="Arial" w:cs="Arial"/>
          <w:color w:val="000000"/>
          <w:sz w:val="24"/>
          <w:szCs w:val="24"/>
        </w:rPr>
        <w:lastRenderedPageBreak/>
        <w:t>methadone maintenance services in three Vietnamese mountainous areas. METHODS: A cross-sectional study of 300 people enrolling for MMT services in three provinces in Vietnam was conducted. The factors associated with the knowledge, attitudes, and practices of respondents about HIV/AIDS were exploited using multivariable logistic model. RESULTS: Of the 300-people surveyed, 99% knew of HIV and 60.6% were identified as having good knowledge. While 75.2% identified that injecting drugs was a risk factor for HIV, 52.2% thought they were not at risk of HIV mainly as they did not share needles. 92.6% had undergone HIV testing with 17.4% being positive, a number which was significantly lower than Vietnam's national average for people who inject drugs. Age, ethnicity and education were associated with knowledge of HIV while ART treatment was linked to self-assessed HIV status. CONCLUSIONS: This study sheds new light on the knowledge attitudes and practices of people who inject drugs, particularly males in mountainous areas of Vietnam regarding HIV prevention. Overall, knowledge was good with most conducting safe practices towards transmission. Enhanced education and targeting of minority groups could help in increasing the numbers receiving MMT and HIV services.</w:t>
      </w:r>
    </w:p>
    <w:p w14:paraId="3B14D74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992A4F8"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13" w:name="m_8873885906141426999__Toc2349118"/>
      <w:r w:rsidRPr="005665FF">
        <w:rPr>
          <w:rFonts w:ascii="Calibri" w:eastAsia="Times New Roman" w:hAnsi="Calibri" w:cs="Calibri"/>
          <w:b/>
          <w:bCs/>
          <w:color w:val="800000"/>
        </w:rPr>
        <w:t>Hand Hygiene Compliance Study at a Large Central Hospital in Vietnam.</w:t>
      </w:r>
      <w:bookmarkEnd w:id="113"/>
    </w:p>
    <w:p w14:paraId="79CF751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Cam Dung Le, Erik B. Lehman, Thanh </w:t>
      </w:r>
      <w:proofErr w:type="spellStart"/>
      <w:r w:rsidRPr="005665FF">
        <w:rPr>
          <w:rFonts w:ascii="Arial" w:eastAsia="Times New Roman" w:hAnsi="Arial" w:cs="Arial"/>
          <w:color w:val="000000"/>
          <w:sz w:val="24"/>
          <w:szCs w:val="24"/>
        </w:rPr>
        <w:t>Huy</w:t>
      </w:r>
      <w:proofErr w:type="spellEnd"/>
      <w:r w:rsidRPr="005665FF">
        <w:rPr>
          <w:rFonts w:ascii="Arial" w:eastAsia="Times New Roman" w:hAnsi="Arial" w:cs="Arial"/>
          <w:color w:val="000000"/>
          <w:sz w:val="24"/>
          <w:szCs w:val="24"/>
        </w:rPr>
        <w:t xml:space="preserve"> Nguyen and Timothy J. Craig. International Journal of Environmental Research and Public Health, 2019, volume 16, number 4, p. 607.</w:t>
      </w:r>
    </w:p>
    <w:p w14:paraId="26CBD9A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62" w:tgtFrame="_blank" w:history="1">
        <w:r w:rsidRPr="005665FF">
          <w:rPr>
            <w:rFonts w:ascii="Arial" w:eastAsia="Times New Roman" w:hAnsi="Arial" w:cs="Arial"/>
            <w:color w:val="1155CC"/>
            <w:sz w:val="24"/>
            <w:szCs w:val="24"/>
            <w:u w:val="single"/>
          </w:rPr>
          <w:t>http://www.mdpi.com/1660-4601/16/4/607</w:t>
        </w:r>
      </w:hyperlink>
      <w:r w:rsidRPr="005665FF">
        <w:rPr>
          <w:rFonts w:ascii="Arial" w:eastAsia="Times New Roman" w:hAnsi="Arial" w:cs="Arial"/>
          <w:color w:val="000000"/>
          <w:sz w:val="24"/>
          <w:szCs w:val="24"/>
        </w:rPr>
        <w:t>.</w:t>
      </w:r>
    </w:p>
    <w:p w14:paraId="7568F37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6501CD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Lack of proper hand hygiene among healthcare workers has been identified as a core facilitator of hospital-acquired infections. Although the concept of hand hygiene quality assurance was introduced to Vietnam relatively recently, it has now become a national focus in an effort to improve the quality of care. Nonetheless, barriers such as resources, lack of education, and cultural norms may be limiting factors for this concept to be properly practiced. Our study aimed to assess the knowledge and attitude of healthcare workers toward hand hygiene and to identify barriers to compliance, as per the World Health Organization's guidelines, through surveys at a large medical center in Vietnam. In addition, we aimed to evaluate the compliance rate across different hospital departments and the roles of healthcare workers through direct observation. Results showed that, in general, healthcare workers had good knowledge of hand hygiene guidelines, but not all believed in receiving reminders from patients. The barriers to compliance were identified as: limited resources, patient overcrowding, shortage of staff, allergic reactions to hand sanitizers, and lack of awareness. The overall compliance was 31%; physicians had the lowest rate of compliance at 15%, while nurses had the highest rate at 39%; internal medicine had the lowest rate at 16%, while the intensive care unit had the highest rate at 40%. In summary, it appears that </w:t>
      </w:r>
      <w:r w:rsidRPr="005665FF">
        <w:rPr>
          <w:rFonts w:ascii="Arial" w:eastAsia="Times New Roman" w:hAnsi="Arial" w:cs="Arial"/>
          <w:color w:val="000000"/>
          <w:sz w:val="24"/>
          <w:szCs w:val="24"/>
        </w:rPr>
        <w:lastRenderedPageBreak/>
        <w:t>addressing cultural attitudes in addition to enforcing repetitive quality assurance and assessment programs are needed to ensure adherence to safe hand washing.</w:t>
      </w:r>
    </w:p>
    <w:p w14:paraId="5A6FB92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7678A23"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0B1DE9FA" w14:textId="2A2B0CA0"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15A5DE2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7478EAD"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14" w:name="m_8873885906141426999__Toc2349119"/>
      <w:r w:rsidRPr="005665FF">
        <w:rPr>
          <w:rFonts w:ascii="Calibri" w:eastAsia="Times New Roman" w:hAnsi="Calibri" w:cs="Calibri"/>
          <w:b/>
          <w:bCs/>
          <w:color w:val="800000"/>
        </w:rPr>
        <w:t>Community-based father education intervention on breastfeeding practice—Results of a quasi-experimental study.</w:t>
      </w:r>
      <w:bookmarkEnd w:id="114"/>
    </w:p>
    <w:p w14:paraId="2F3951E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Tran </w:t>
      </w:r>
      <w:proofErr w:type="spellStart"/>
      <w:r w:rsidRPr="005665FF">
        <w:rPr>
          <w:rFonts w:ascii="Arial" w:eastAsia="Times New Roman" w:hAnsi="Arial" w:cs="Arial"/>
          <w:color w:val="000000"/>
          <w:sz w:val="24"/>
          <w:szCs w:val="24"/>
        </w:rPr>
        <w:t>Huu</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Bich</w:t>
      </w:r>
      <w:proofErr w:type="spellEnd"/>
      <w:r w:rsidRPr="005665FF">
        <w:rPr>
          <w:rFonts w:ascii="Arial" w:eastAsia="Times New Roman" w:hAnsi="Arial" w:cs="Arial"/>
          <w:color w:val="000000"/>
          <w:sz w:val="24"/>
          <w:szCs w:val="24"/>
        </w:rPr>
        <w:t xml:space="preserve">, Tran </w:t>
      </w:r>
      <w:proofErr w:type="spellStart"/>
      <w:r w:rsidRPr="005665FF">
        <w:rPr>
          <w:rFonts w:ascii="Arial" w:eastAsia="Times New Roman" w:hAnsi="Arial" w:cs="Arial"/>
          <w:color w:val="000000"/>
          <w:sz w:val="24"/>
          <w:szCs w:val="24"/>
        </w:rPr>
        <w:t>Khanh</w:t>
      </w:r>
      <w:proofErr w:type="spellEnd"/>
      <w:r w:rsidRPr="005665FF">
        <w:rPr>
          <w:rFonts w:ascii="Arial" w:eastAsia="Times New Roman" w:hAnsi="Arial" w:cs="Arial"/>
          <w:color w:val="000000"/>
          <w:sz w:val="24"/>
          <w:szCs w:val="24"/>
        </w:rPr>
        <w:t xml:space="preserve"> Long and </w:t>
      </w:r>
      <w:proofErr w:type="spellStart"/>
      <w:r w:rsidRPr="005665FF">
        <w:rPr>
          <w:rFonts w:ascii="Arial" w:eastAsia="Times New Roman" w:hAnsi="Arial" w:cs="Arial"/>
          <w:color w:val="000000"/>
          <w:sz w:val="24"/>
          <w:szCs w:val="24"/>
        </w:rPr>
        <w:t>Dinh</w:t>
      </w:r>
      <w:proofErr w:type="spellEnd"/>
      <w:r w:rsidRPr="005665FF">
        <w:rPr>
          <w:rFonts w:ascii="Arial" w:eastAsia="Times New Roman" w:hAnsi="Arial" w:cs="Arial"/>
          <w:color w:val="000000"/>
          <w:sz w:val="24"/>
          <w:szCs w:val="24"/>
        </w:rPr>
        <w:t xml:space="preserve"> Phuong </w:t>
      </w:r>
      <w:proofErr w:type="spellStart"/>
      <w:r w:rsidRPr="005665FF">
        <w:rPr>
          <w:rFonts w:ascii="Arial" w:eastAsia="Times New Roman" w:hAnsi="Arial" w:cs="Arial"/>
          <w:color w:val="000000"/>
          <w:sz w:val="24"/>
          <w:szCs w:val="24"/>
        </w:rPr>
        <w:t>Hoa</w:t>
      </w:r>
      <w:proofErr w:type="spellEnd"/>
      <w:r w:rsidRPr="005665FF">
        <w:rPr>
          <w:rFonts w:ascii="Arial" w:eastAsia="Times New Roman" w:hAnsi="Arial" w:cs="Arial"/>
          <w:color w:val="000000"/>
          <w:sz w:val="24"/>
          <w:szCs w:val="24"/>
        </w:rPr>
        <w:t>. Maternal &amp; Child Nutrition, 2019, volume 15, number S1, p. e12705.</w:t>
      </w:r>
    </w:p>
    <w:p w14:paraId="4507B03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63" w:tgtFrame="_blank" w:history="1">
        <w:r w:rsidRPr="005665FF">
          <w:rPr>
            <w:rFonts w:ascii="Arial" w:eastAsia="Times New Roman" w:hAnsi="Arial" w:cs="Arial"/>
            <w:color w:val="1155CC"/>
            <w:sz w:val="24"/>
            <w:szCs w:val="24"/>
            <w:u w:val="single"/>
          </w:rPr>
          <w:t>https://onlinelibrary.wiley.com/doi/abs/10.1111/mcn.12705</w:t>
        </w:r>
      </w:hyperlink>
      <w:r w:rsidRPr="005665FF">
        <w:rPr>
          <w:rFonts w:ascii="Arial" w:eastAsia="Times New Roman" w:hAnsi="Arial" w:cs="Arial"/>
          <w:color w:val="000000"/>
          <w:sz w:val="24"/>
          <w:szCs w:val="24"/>
        </w:rPr>
        <w:t>.</w:t>
      </w:r>
    </w:p>
    <w:p w14:paraId="5300B2C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CD86DD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Although the benefits of breastfeeding are well-documented, little is known about how best to encourage fathers to support breastfeeding. A quasi-experimental study of a community-based intervention was designed to examine whether health education to promote fathers' involvement in supporting women is associated with early initiation and exclusive breastfeeding practices. At baseline, 802 couples of fathers with pregnant wives from 12 to 27 weeks of gestational age were recruited to either the intervention group (n = 390) or a control group (n = 412) consisting of couples seeking care through routine maternal and child health services. Fathers in the intervention area received breastfeeding education and counselling services in health facilities and at home visits during the antenatal, delivery, and post-partum periods. Peer education and social exchange concerning breastfeeding were organized in fathers' clubs. After 1 year of the intervention, mothers in the intervention group were more likely to initiate early breastfeeding 49.2 and 35.8% in the intervention and control group respectively, P &lt; 0.001. At 1, 4, and 6 months after birth, 34.8, 18.7, and 1.9% of the mothers in the intervention group were exclusively breastfeeding their children because of birth, respectively, compared with 5.7, 4.0, and 0.0% of those in the control group (P &lt; 0.001). Those practices were associated with the intervention in bivariate and multivariate logistic and Cox regression analyses. Intervention targeting fathers at antenatal and postnatal periods may positively influence the breastfeeding practices of mothers, and it should be an important component of breastfeeding programs.</w:t>
      </w:r>
    </w:p>
    <w:p w14:paraId="75FAA53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BA2616B"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15" w:name="m_8873885906141426999__Toc2349120"/>
      <w:r w:rsidRPr="005665FF">
        <w:rPr>
          <w:rFonts w:ascii="Calibri" w:eastAsia="Times New Roman" w:hAnsi="Calibri" w:cs="Calibri"/>
          <w:b/>
          <w:bCs/>
          <w:color w:val="800000"/>
        </w:rPr>
        <w:t>Decomposition of Changes in the Consumption of Macronutrients in Vietnam between 2004 and 2014.</w:t>
      </w:r>
      <w:bookmarkEnd w:id="115"/>
    </w:p>
    <w:p w14:paraId="0F7FFF5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Huong Trinh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Michel </w:t>
      </w:r>
      <w:proofErr w:type="spellStart"/>
      <w:r w:rsidRPr="005665FF">
        <w:rPr>
          <w:rFonts w:ascii="Arial" w:eastAsia="Times New Roman" w:hAnsi="Arial" w:cs="Arial"/>
          <w:color w:val="000000"/>
          <w:sz w:val="24"/>
          <w:szCs w:val="24"/>
        </w:rPr>
        <w:t>Simioni</w:t>
      </w:r>
      <w:proofErr w:type="spellEnd"/>
      <w:r w:rsidRPr="005665FF">
        <w:rPr>
          <w:rFonts w:ascii="Arial" w:eastAsia="Times New Roman" w:hAnsi="Arial" w:cs="Arial"/>
          <w:color w:val="000000"/>
          <w:sz w:val="24"/>
          <w:szCs w:val="24"/>
        </w:rPr>
        <w:t xml:space="preserve"> and Christine2018Abstract:  Thomas-</w:t>
      </w:r>
      <w:proofErr w:type="spellStart"/>
      <w:r w:rsidRPr="005665FF">
        <w:rPr>
          <w:rFonts w:ascii="Arial" w:eastAsia="Times New Roman" w:hAnsi="Arial" w:cs="Arial"/>
          <w:color w:val="000000"/>
          <w:sz w:val="24"/>
          <w:szCs w:val="24"/>
        </w:rPr>
        <w:t>Agnan</w:t>
      </w:r>
      <w:proofErr w:type="spellEnd"/>
      <w:r w:rsidRPr="005665FF">
        <w:rPr>
          <w:rFonts w:ascii="Arial" w:eastAsia="Times New Roman" w:hAnsi="Arial" w:cs="Arial"/>
          <w:color w:val="000000"/>
          <w:sz w:val="24"/>
          <w:szCs w:val="24"/>
        </w:rPr>
        <w:t>. Economics and Human Biology, 2019, volume 31.</w:t>
      </w:r>
    </w:p>
    <w:p w14:paraId="3C7392A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38CE200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Vietnam is undergoing a nutritional transition like many middle-income countries. This transition is characterized by an increase in per capita total calorie intake resulting from an increase in the consumption of fat and protein while the carbohydrate consumption decreases. This paper proposes to highlight the sociodemographic drivers of this transition over the period 2004-2014, using Vietnam Household Living Standard Survey data. We implement a method of decomposition of between-year differences in economic outcomes recently proposed in the literature. This method decomposes the between-year change in various indicators related to the outcome distribution (mean, median, quantiles, etc.) into (1) the effect due to between-year change in the conditional distribution of the outcome given sociodemographic characteristics, or "structure effect," and (2) the effect due to the differences in sociodemographic characteristics across years, or "composition effect." In turn, this last effect is decomposed into direct contributions of each sociodemographic characteristics and effects of their interactions. The composition effect, always positive, generally outweighs the structure effect when considering the between-year changes in distributions of per capita calorie intake or calorie intake coming from protein or fat. The effects of changes in the composition of the Vietnamese population thus overcome the effects of changes in preferences of the same population. This finding is reversed in the case of carbohydrates. Food expenditure and household size appear to be the main contributors to the composition effect. The positive effects of these two variables explain well most of the between-year shifts observed in the calorie intake distributions. Urbanization and level of education contribute negatively to the composition effect, with the noticeable exception of fat where the effect of urbanization is positive. But these two variables effects are negligible compared to those of food expenditure and household size.</w:t>
      </w:r>
    </w:p>
    <w:p w14:paraId="56AEB28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4BAC13F"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0704FCE2" w14:textId="4B946ED8"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656610E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7A3BE4C"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16" w:name="m_8873885906141426999__Toc2349121"/>
      <w:r w:rsidRPr="005665FF">
        <w:rPr>
          <w:rFonts w:ascii="Calibri" w:eastAsia="Times New Roman" w:hAnsi="Calibri" w:cs="Calibri"/>
          <w:b/>
          <w:bCs/>
          <w:color w:val="800000"/>
        </w:rPr>
        <w:t>Malnutrition among 6–59-Month-Old Children at District 2 Hospital, Ho Chi Minh City, Vietnam: Prevalence and Associated Factors.</w:t>
      </w:r>
      <w:bookmarkEnd w:id="116"/>
    </w:p>
    <w:p w14:paraId="7FC8228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Giao</w:t>
      </w:r>
      <w:proofErr w:type="spellEnd"/>
      <w:r w:rsidRPr="005665FF">
        <w:rPr>
          <w:rFonts w:ascii="Arial" w:eastAsia="Times New Roman" w:hAnsi="Arial" w:cs="Arial"/>
          <w:color w:val="000000"/>
          <w:sz w:val="24"/>
          <w:szCs w:val="24"/>
        </w:rPr>
        <w:t xml:space="preserve"> Huynh, Quynh H. Ngoc Huynh, Ngoc Han T. Nguyen, Quang Thanh Do and Van </w:t>
      </w:r>
      <w:proofErr w:type="spellStart"/>
      <w:r w:rsidRPr="005665FF">
        <w:rPr>
          <w:rFonts w:ascii="Arial" w:eastAsia="Times New Roman" w:hAnsi="Arial" w:cs="Arial"/>
          <w:color w:val="000000"/>
          <w:sz w:val="24"/>
          <w:szCs w:val="24"/>
        </w:rPr>
        <w:t>Khanh</w:t>
      </w:r>
      <w:proofErr w:type="spellEnd"/>
      <w:r w:rsidRPr="005665FF">
        <w:rPr>
          <w:rFonts w:ascii="Arial" w:eastAsia="Times New Roman" w:hAnsi="Arial" w:cs="Arial"/>
          <w:color w:val="000000"/>
          <w:sz w:val="24"/>
          <w:szCs w:val="24"/>
        </w:rPr>
        <w:t xml:space="preserve"> Tran. BioMed Research International, 2019.</w:t>
      </w:r>
    </w:p>
    <w:p w14:paraId="3BE27D3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64" w:tgtFrame="_blank" w:history="1">
        <w:r w:rsidRPr="005665FF">
          <w:rPr>
            <w:rFonts w:ascii="Arial" w:eastAsia="Times New Roman" w:hAnsi="Arial" w:cs="Arial"/>
            <w:color w:val="1155CC"/>
            <w:sz w:val="24"/>
            <w:szCs w:val="24"/>
            <w:u w:val="single"/>
          </w:rPr>
          <w:t>http://downloads.hindawi.com/journals/bmri/2019/6921312.pdf</w:t>
        </w:r>
      </w:hyperlink>
      <w:r w:rsidRPr="005665FF">
        <w:rPr>
          <w:rFonts w:ascii="Arial" w:eastAsia="Times New Roman" w:hAnsi="Arial" w:cs="Arial"/>
          <w:color w:val="000000"/>
          <w:sz w:val="24"/>
          <w:szCs w:val="24"/>
        </w:rPr>
        <w:t>.</w:t>
      </w:r>
    </w:p>
    <w:p w14:paraId="7AEAD33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DB6BBB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Objectives. Childhood malnutrition is major health concern in many low- and middle-income countries, including Vietnam. It was a major risk factor for child mortality </w:t>
      </w:r>
      <w:r w:rsidRPr="005665FF">
        <w:rPr>
          <w:rFonts w:ascii="Arial" w:eastAsia="Times New Roman" w:hAnsi="Arial" w:cs="Arial"/>
          <w:color w:val="000000"/>
          <w:sz w:val="24"/>
          <w:szCs w:val="24"/>
        </w:rPr>
        <w:lastRenderedPageBreak/>
        <w:t xml:space="preserve">and adult ill-health. Malnutrition could increase the risk of serious infections; conversely current diseases also had a negative impact on the growth of child. Tis study, therefore, examines the prevalence of stunting and underweight among 6–59-month-old outpatient children in District 2 Hospital, Ho Chi Minh City, Vietnam. Methods. A </w:t>
      </w:r>
      <w:proofErr w:type="spellStart"/>
      <w:r w:rsidRPr="005665FF">
        <w:rPr>
          <w:rFonts w:ascii="Arial" w:eastAsia="Times New Roman" w:hAnsi="Arial" w:cs="Arial"/>
          <w:color w:val="000000"/>
          <w:sz w:val="24"/>
          <w:szCs w:val="24"/>
        </w:rPr>
        <w:t>crosssectional</w:t>
      </w:r>
      <w:proofErr w:type="spellEnd"/>
      <w:r w:rsidRPr="005665FF">
        <w:rPr>
          <w:rFonts w:ascii="Arial" w:eastAsia="Times New Roman" w:hAnsi="Arial" w:cs="Arial"/>
          <w:color w:val="000000"/>
          <w:sz w:val="24"/>
          <w:szCs w:val="24"/>
        </w:rPr>
        <w:t xml:space="preserve"> study involved a sample of 225 children aged 6–59 months who were randomly selected from the Outpatient Department in District 2 Hospital. Anthropometric measurements and blood test of children were taken to assess the nutritional status and </w:t>
      </w:r>
      <w:proofErr w:type="spellStart"/>
      <w:r w:rsidRPr="005665FF">
        <w:rPr>
          <w:rFonts w:ascii="Arial" w:eastAsia="Times New Roman" w:hAnsi="Arial" w:cs="Arial"/>
          <w:color w:val="000000"/>
          <w:sz w:val="24"/>
          <w:szCs w:val="24"/>
        </w:rPr>
        <w:t>anaemia</w:t>
      </w:r>
      <w:proofErr w:type="spellEnd"/>
      <w:r w:rsidRPr="005665FF">
        <w:rPr>
          <w:rFonts w:ascii="Arial" w:eastAsia="Times New Roman" w:hAnsi="Arial" w:cs="Arial"/>
          <w:color w:val="000000"/>
          <w:sz w:val="24"/>
          <w:szCs w:val="24"/>
        </w:rPr>
        <w:t xml:space="preserve">. A structured questionnaire was also used to collect mothers’ and children’s characteristics to examine associated risk factors. Results. </w:t>
      </w:r>
      <w:proofErr w:type="spellStart"/>
      <w:r w:rsidRPr="005665FF">
        <w:rPr>
          <w:rFonts w:ascii="Arial" w:eastAsia="Times New Roman" w:hAnsi="Arial" w:cs="Arial"/>
          <w:color w:val="000000"/>
          <w:sz w:val="24"/>
          <w:szCs w:val="24"/>
        </w:rPr>
        <w:t>Te</w:t>
      </w:r>
      <w:proofErr w:type="spellEnd"/>
      <w:r w:rsidRPr="005665FF">
        <w:rPr>
          <w:rFonts w:ascii="Arial" w:eastAsia="Times New Roman" w:hAnsi="Arial" w:cs="Arial"/>
          <w:color w:val="000000"/>
          <w:sz w:val="24"/>
          <w:szCs w:val="24"/>
        </w:rPr>
        <w:t xml:space="preserve"> prevalence of stunting, underweight, overweight, and </w:t>
      </w:r>
      <w:proofErr w:type="spellStart"/>
      <w:r w:rsidRPr="005665FF">
        <w:rPr>
          <w:rFonts w:ascii="Arial" w:eastAsia="Times New Roman" w:hAnsi="Arial" w:cs="Arial"/>
          <w:color w:val="000000"/>
          <w:sz w:val="24"/>
          <w:szCs w:val="24"/>
        </w:rPr>
        <w:t>anaemia</w:t>
      </w:r>
      <w:proofErr w:type="spellEnd"/>
      <w:r w:rsidRPr="005665FF">
        <w:rPr>
          <w:rFonts w:ascii="Arial" w:eastAsia="Times New Roman" w:hAnsi="Arial" w:cs="Arial"/>
          <w:color w:val="000000"/>
          <w:sz w:val="24"/>
          <w:szCs w:val="24"/>
        </w:rPr>
        <w:t xml:space="preserve"> among children aged 6–59 months was 9.8%, 8.4%, 25.8%, and 30.7%, respectively. Underweight </w:t>
      </w:r>
      <w:proofErr w:type="spellStart"/>
      <w:r w:rsidRPr="005665FF">
        <w:rPr>
          <w:rFonts w:ascii="Arial" w:eastAsia="Times New Roman" w:hAnsi="Arial" w:cs="Arial"/>
          <w:color w:val="000000"/>
          <w:sz w:val="24"/>
          <w:szCs w:val="24"/>
        </w:rPr>
        <w:t>signifcantly</w:t>
      </w:r>
      <w:proofErr w:type="spellEnd"/>
      <w:r w:rsidRPr="005665FF">
        <w:rPr>
          <w:rFonts w:ascii="Arial" w:eastAsia="Times New Roman" w:hAnsi="Arial" w:cs="Arial"/>
          <w:color w:val="000000"/>
          <w:sz w:val="24"/>
          <w:szCs w:val="24"/>
        </w:rPr>
        <w:t xml:space="preserve"> correlated only to having breastfeeding in the </w:t>
      </w:r>
      <w:proofErr w:type="spellStart"/>
      <w:r w:rsidRPr="005665FF">
        <w:rPr>
          <w:rFonts w:ascii="Arial" w:eastAsia="Times New Roman" w:hAnsi="Arial" w:cs="Arial"/>
          <w:color w:val="000000"/>
          <w:sz w:val="24"/>
          <w:szCs w:val="24"/>
        </w:rPr>
        <w:t>frst</w:t>
      </w:r>
      <w:proofErr w:type="spellEnd"/>
      <w:r w:rsidRPr="005665FF">
        <w:rPr>
          <w:rFonts w:ascii="Arial" w:eastAsia="Times New Roman" w:hAnsi="Arial" w:cs="Arial"/>
          <w:color w:val="000000"/>
          <w:sz w:val="24"/>
          <w:szCs w:val="24"/>
        </w:rPr>
        <w:t xml:space="preserve"> hour </w:t>
      </w:r>
      <w:proofErr w:type="spellStart"/>
      <w:r w:rsidRPr="005665FF">
        <w:rPr>
          <w:rFonts w:ascii="Arial" w:eastAsia="Times New Roman" w:hAnsi="Arial" w:cs="Arial"/>
          <w:color w:val="000000"/>
          <w:sz w:val="24"/>
          <w:szCs w:val="24"/>
        </w:rPr>
        <w:t>afer</w:t>
      </w:r>
      <w:proofErr w:type="spellEnd"/>
      <w:r w:rsidRPr="005665FF">
        <w:rPr>
          <w:rFonts w:ascii="Arial" w:eastAsia="Times New Roman" w:hAnsi="Arial" w:cs="Arial"/>
          <w:color w:val="000000"/>
          <w:sz w:val="24"/>
          <w:szCs w:val="24"/>
        </w:rPr>
        <w:t xml:space="preserve"> birth (RR: 0.02; 95% CI: 0.01-0.17; p&lt;0.001), while stunting was related to age of starting complementary foods from equal to/more than 6 months (RR=0.70, 95%CI=0.50-0.99, p&lt;0.05) and normal birth weight (RR = 0.29, 95%CI = 0.15-0.56, p&lt;0.001). Conclusions. Tis study emphasized the importance of measuring the overall nutritional status for children, who have coexisting infectious diseases and </w:t>
      </w:r>
      <w:proofErr w:type="spellStart"/>
      <w:r w:rsidRPr="005665FF">
        <w:rPr>
          <w:rFonts w:ascii="Arial" w:eastAsia="Times New Roman" w:hAnsi="Arial" w:cs="Arial"/>
          <w:color w:val="000000"/>
          <w:sz w:val="24"/>
          <w:szCs w:val="24"/>
        </w:rPr>
        <w:t>anaemia</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Te</w:t>
      </w:r>
      <w:proofErr w:type="spellEnd"/>
      <w:r w:rsidRPr="005665FF">
        <w:rPr>
          <w:rFonts w:ascii="Arial" w:eastAsia="Times New Roman" w:hAnsi="Arial" w:cs="Arial"/>
          <w:color w:val="000000"/>
          <w:sz w:val="24"/>
          <w:szCs w:val="24"/>
        </w:rPr>
        <w:t xml:space="preserve"> high prevalence of malnutrition and </w:t>
      </w:r>
      <w:proofErr w:type="spellStart"/>
      <w:r w:rsidRPr="005665FF">
        <w:rPr>
          <w:rFonts w:ascii="Arial" w:eastAsia="Times New Roman" w:hAnsi="Arial" w:cs="Arial"/>
          <w:color w:val="000000"/>
          <w:sz w:val="24"/>
          <w:szCs w:val="24"/>
        </w:rPr>
        <w:t>anaemia</w:t>
      </w:r>
      <w:proofErr w:type="spellEnd"/>
      <w:r w:rsidRPr="005665FF">
        <w:rPr>
          <w:rFonts w:ascii="Arial" w:eastAsia="Times New Roman" w:hAnsi="Arial" w:cs="Arial"/>
          <w:color w:val="000000"/>
          <w:sz w:val="24"/>
          <w:szCs w:val="24"/>
        </w:rPr>
        <w:t xml:space="preserve"> underlined the need for routine screening as well as treatment of children. Additionally, health information strategies should be focused on young children feeding practices to minimize stunting and underweight.</w:t>
      </w:r>
    </w:p>
    <w:p w14:paraId="064BBBA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26A2E7D"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17" w:name="m_8873885906141426999__Toc2349122"/>
      <w:r w:rsidRPr="005665FF">
        <w:rPr>
          <w:rFonts w:ascii="Calibri" w:eastAsia="Times New Roman" w:hAnsi="Calibri" w:cs="Calibri"/>
          <w:b/>
          <w:bCs/>
          <w:color w:val="800000"/>
        </w:rPr>
        <w:t>Stunting and academic achievement among Vietnamese children: new evidence from the young lives survey.</w:t>
      </w:r>
      <w:bookmarkEnd w:id="117"/>
    </w:p>
    <w:p w14:paraId="5E8635D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Viet-</w:t>
      </w:r>
      <w:proofErr w:type="spellStart"/>
      <w:r w:rsidRPr="005665FF">
        <w:rPr>
          <w:rFonts w:ascii="Arial" w:eastAsia="Times New Roman" w:hAnsi="Arial" w:cs="Arial"/>
          <w:color w:val="000000"/>
          <w:sz w:val="24"/>
          <w:szCs w:val="24"/>
        </w:rPr>
        <w:t>Ngu</w:t>
      </w:r>
      <w:proofErr w:type="spellEnd"/>
      <w:r w:rsidRPr="005665FF">
        <w:rPr>
          <w:rFonts w:ascii="Arial" w:eastAsia="Times New Roman" w:hAnsi="Arial" w:cs="Arial"/>
          <w:color w:val="000000"/>
          <w:sz w:val="24"/>
          <w:szCs w:val="24"/>
        </w:rPr>
        <w:t xml:space="preserve"> Hoang, Son Nghiem and Xuan-</w:t>
      </w:r>
      <w:proofErr w:type="spellStart"/>
      <w:r w:rsidRPr="005665FF">
        <w:rPr>
          <w:rFonts w:ascii="Arial" w:eastAsia="Times New Roman" w:hAnsi="Arial" w:cs="Arial"/>
          <w:color w:val="000000"/>
          <w:sz w:val="24"/>
          <w:szCs w:val="24"/>
        </w:rPr>
        <w:t>Binh</w:t>
      </w:r>
      <w:proofErr w:type="spellEnd"/>
      <w:r w:rsidRPr="005665FF">
        <w:rPr>
          <w:rFonts w:ascii="Arial" w:eastAsia="Times New Roman" w:hAnsi="Arial" w:cs="Arial"/>
          <w:color w:val="000000"/>
          <w:sz w:val="24"/>
          <w:szCs w:val="24"/>
        </w:rPr>
        <w:t xml:space="preserve"> Vu. Applied Economics, 2019, volume 51, number 18.</w:t>
      </w:r>
    </w:p>
    <w:p w14:paraId="5DCB8CE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4E9956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Most of the empirical literature on the relationship between the health condition and skill development of school children are based on a static relationship between health and skill development. This article contributes to the literature by examining the dynamic relationship between stunting and school achievement using data from the first three waves of the Young Lives Survey in Vietnam. Using both structural equation and hybrid estimators, empirical results show that past school performance is the most significant predictor of the academic performance. Stunting has a significant negative effect on school performance, and its effect in the long run is as twice as much its effect in the short run. The empirical evidence also shows that the age of the child, mothers' literacy, access to electricity and household consumption significantly affect school performance.</w:t>
      </w:r>
    </w:p>
    <w:p w14:paraId="701519D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9ED9815"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748DE26A" w14:textId="5AF0415B"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lastRenderedPageBreak/>
        <w:fldChar w:fldCharType="end"/>
      </w:r>
    </w:p>
    <w:p w14:paraId="0233E01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B289545"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18" w:name="m_8873885906141426999__Toc2349123"/>
      <w:r w:rsidRPr="005665FF">
        <w:rPr>
          <w:rFonts w:ascii="Calibri" w:eastAsia="Times New Roman" w:hAnsi="Calibri" w:cs="Calibri"/>
          <w:b/>
          <w:bCs/>
          <w:color w:val="800000"/>
        </w:rPr>
        <w:t>Stunting and Overweight among 12-24-Month-Old Children Receiving Vaccination in Ho Chi Minh City, Vietnam.</w:t>
      </w:r>
      <w:bookmarkEnd w:id="118"/>
    </w:p>
    <w:p w14:paraId="7EF3336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Huynh </w:t>
      </w:r>
      <w:proofErr w:type="spellStart"/>
      <w:r w:rsidRPr="005665FF">
        <w:rPr>
          <w:rFonts w:ascii="Arial" w:eastAsia="Times New Roman" w:hAnsi="Arial" w:cs="Arial"/>
          <w:color w:val="000000"/>
          <w:sz w:val="24"/>
          <w:szCs w:val="24"/>
        </w:rPr>
        <w:t>Giao</w:t>
      </w:r>
      <w:proofErr w:type="spellEnd"/>
      <w:r w:rsidRPr="005665FF">
        <w:rPr>
          <w:rFonts w:ascii="Arial" w:eastAsia="Times New Roman" w:hAnsi="Arial" w:cs="Arial"/>
          <w:color w:val="000000"/>
          <w:sz w:val="24"/>
          <w:szCs w:val="24"/>
        </w:rPr>
        <w:t xml:space="preserve">, Pham Le An, Nguyen Truong </w:t>
      </w:r>
      <w:proofErr w:type="spellStart"/>
      <w:r w:rsidRPr="005665FF">
        <w:rPr>
          <w:rFonts w:ascii="Arial" w:eastAsia="Times New Roman" w:hAnsi="Arial" w:cs="Arial"/>
          <w:color w:val="000000"/>
          <w:sz w:val="24"/>
          <w:szCs w:val="24"/>
        </w:rPr>
        <w:t>Vien</w:t>
      </w:r>
      <w:proofErr w:type="spellEnd"/>
      <w:r w:rsidRPr="005665FF">
        <w:rPr>
          <w:rFonts w:ascii="Arial" w:eastAsia="Times New Roman" w:hAnsi="Arial" w:cs="Arial"/>
          <w:color w:val="000000"/>
          <w:sz w:val="24"/>
          <w:szCs w:val="24"/>
        </w:rPr>
        <w:t xml:space="preserve">, Tran Van </w:t>
      </w:r>
      <w:proofErr w:type="spellStart"/>
      <w:r w:rsidRPr="005665FF">
        <w:rPr>
          <w:rFonts w:ascii="Arial" w:eastAsia="Times New Roman" w:hAnsi="Arial" w:cs="Arial"/>
          <w:color w:val="000000"/>
          <w:sz w:val="24"/>
          <w:szCs w:val="24"/>
        </w:rPr>
        <w:t>Khanh</w:t>
      </w:r>
      <w:proofErr w:type="spellEnd"/>
      <w:r w:rsidRPr="005665FF">
        <w:rPr>
          <w:rFonts w:ascii="Arial" w:eastAsia="Times New Roman" w:hAnsi="Arial" w:cs="Arial"/>
          <w:color w:val="000000"/>
          <w:sz w:val="24"/>
          <w:szCs w:val="24"/>
        </w:rPr>
        <w:t xml:space="preserve"> and Bui Quang Vinh. BioMed Research International, 2019.</w:t>
      </w:r>
    </w:p>
    <w:p w14:paraId="53082E9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65" w:tgtFrame="_blank" w:history="1">
        <w:r w:rsidRPr="005665FF">
          <w:rPr>
            <w:rFonts w:ascii="Arial" w:eastAsia="Times New Roman" w:hAnsi="Arial" w:cs="Arial"/>
            <w:color w:val="1155CC"/>
            <w:sz w:val="24"/>
            <w:szCs w:val="24"/>
            <w:u w:val="single"/>
          </w:rPr>
          <w:t>http://downloads.hindawi.com/journals/bmri/2019/1547626.pdf</w:t>
        </w:r>
      </w:hyperlink>
      <w:r w:rsidRPr="005665FF">
        <w:rPr>
          <w:rFonts w:ascii="Arial" w:eastAsia="Times New Roman" w:hAnsi="Arial" w:cs="Arial"/>
          <w:color w:val="000000"/>
          <w:sz w:val="24"/>
          <w:szCs w:val="24"/>
        </w:rPr>
        <w:t>.</w:t>
      </w:r>
    </w:p>
    <w:p w14:paraId="7BF042F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B464EC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Introduction. Malnutrition and obesity are a double burden on children in developing countries and could induce higher risks of noncommunicable diseases in the long term. In the big cities of Vietnam, both issues are present and share the issue of nutrition problems; the prevalence of malnutrition in children is gradually decreasing while the prevalence of obesity is increasing rapidly. </w:t>
      </w:r>
      <w:proofErr w:type="spellStart"/>
      <w:r w:rsidRPr="005665FF">
        <w:rPr>
          <w:rFonts w:ascii="Arial" w:eastAsia="Times New Roman" w:hAnsi="Arial" w:cs="Arial"/>
          <w:color w:val="000000"/>
          <w:sz w:val="24"/>
          <w:szCs w:val="24"/>
        </w:rPr>
        <w:t>Te</w:t>
      </w:r>
      <w:proofErr w:type="spellEnd"/>
      <w:r w:rsidRPr="005665FF">
        <w:rPr>
          <w:rFonts w:ascii="Arial" w:eastAsia="Times New Roman" w:hAnsi="Arial" w:cs="Arial"/>
          <w:color w:val="000000"/>
          <w:sz w:val="24"/>
          <w:szCs w:val="24"/>
        </w:rPr>
        <w:t xml:space="preserve"> paper aims to identify the prevalence of stunting and overweight/obesity in apparently healthy young children in Ho Chi Minh City (HCMC). Methods. A prospective cross-sectional study recruited 12-24-month-old children receiving national vaccination in community health centers in HCMC from February 2016 to July 2017. Sixteen healthcare centers were randomly selected among 8 districts of HCMC. Stunting and overweight were </w:t>
      </w:r>
      <w:proofErr w:type="spellStart"/>
      <w:r w:rsidRPr="005665FF">
        <w:rPr>
          <w:rFonts w:ascii="Arial" w:eastAsia="Times New Roman" w:hAnsi="Arial" w:cs="Arial"/>
          <w:color w:val="000000"/>
          <w:sz w:val="24"/>
          <w:szCs w:val="24"/>
        </w:rPr>
        <w:t>defned</w:t>
      </w:r>
      <w:proofErr w:type="spellEnd"/>
      <w:r w:rsidRPr="005665FF">
        <w:rPr>
          <w:rFonts w:ascii="Arial" w:eastAsia="Times New Roman" w:hAnsi="Arial" w:cs="Arial"/>
          <w:color w:val="000000"/>
          <w:sz w:val="24"/>
          <w:szCs w:val="24"/>
        </w:rPr>
        <w:t xml:space="preserve"> by height-for-age z-score &lt;-2 SD and BMI z-score ≥+2 SD. Results. A total of 768 children had mean age of 16.8±4.2 months old, 51.7% boys. </w:t>
      </w:r>
      <w:proofErr w:type="spellStart"/>
      <w:r w:rsidRPr="005665FF">
        <w:rPr>
          <w:rFonts w:ascii="Arial" w:eastAsia="Times New Roman" w:hAnsi="Arial" w:cs="Arial"/>
          <w:color w:val="000000"/>
          <w:sz w:val="24"/>
          <w:szCs w:val="24"/>
        </w:rPr>
        <w:t>Te</w:t>
      </w:r>
      <w:proofErr w:type="spellEnd"/>
      <w:r w:rsidRPr="005665FF">
        <w:rPr>
          <w:rFonts w:ascii="Arial" w:eastAsia="Times New Roman" w:hAnsi="Arial" w:cs="Arial"/>
          <w:color w:val="000000"/>
          <w:sz w:val="24"/>
          <w:szCs w:val="24"/>
        </w:rPr>
        <w:t xml:space="preserve"> prevalence of stunting and overweight/obesity was 8.2% and 10.7%, respectively. Stunting was associated with older age, boys, and low birth weight of children and occupation of mothers (P &lt;0.05). No associated risk factor was observed for overweight/ obesity status. Conclusion. </w:t>
      </w:r>
      <w:proofErr w:type="spellStart"/>
      <w:r w:rsidRPr="005665FF">
        <w:rPr>
          <w:rFonts w:ascii="Arial" w:eastAsia="Times New Roman" w:hAnsi="Arial" w:cs="Arial"/>
          <w:color w:val="000000"/>
          <w:sz w:val="24"/>
          <w:szCs w:val="24"/>
        </w:rPr>
        <w:t>Te</w:t>
      </w:r>
      <w:proofErr w:type="spellEnd"/>
      <w:r w:rsidRPr="005665FF">
        <w:rPr>
          <w:rFonts w:ascii="Arial" w:eastAsia="Times New Roman" w:hAnsi="Arial" w:cs="Arial"/>
          <w:color w:val="000000"/>
          <w:sz w:val="24"/>
          <w:szCs w:val="24"/>
        </w:rPr>
        <w:t xml:space="preserve"> prevalence of overweight/obesity was higher than the prevalence of stunting in 12-24-month-old children in HCMC. Overweight/obesity would be a public health problem for children in big cities.</w:t>
      </w:r>
    </w:p>
    <w:p w14:paraId="6349201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761704C"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19" w:name="m_8873885906141426999__Toc2349124"/>
      <w:r w:rsidRPr="005665FF">
        <w:rPr>
          <w:rFonts w:ascii="Calibri" w:eastAsia="Times New Roman" w:hAnsi="Calibri" w:cs="Calibri"/>
          <w:b/>
          <w:bCs/>
          <w:color w:val="800000"/>
        </w:rPr>
        <w:t>Sex Differences and Psychological Factors Associated with General Health Examinations Participation: Results from a Vietnamese Cross-Section Dataset.</w:t>
      </w:r>
      <w:bookmarkEnd w:id="119"/>
    </w:p>
    <w:p w14:paraId="401DC7D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Quan-Hoang </w:t>
      </w:r>
      <w:proofErr w:type="spellStart"/>
      <w:r w:rsidRPr="005665FF">
        <w:rPr>
          <w:rFonts w:ascii="Arial" w:eastAsia="Times New Roman" w:hAnsi="Arial" w:cs="Arial"/>
          <w:color w:val="000000"/>
          <w:sz w:val="24"/>
          <w:szCs w:val="24"/>
        </w:rPr>
        <w:t>Vuong</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Kien-Cuong</w:t>
      </w:r>
      <w:proofErr w:type="spellEnd"/>
      <w:r w:rsidRPr="005665FF">
        <w:rPr>
          <w:rFonts w:ascii="Arial" w:eastAsia="Times New Roman" w:hAnsi="Arial" w:cs="Arial"/>
          <w:color w:val="000000"/>
          <w:sz w:val="24"/>
          <w:szCs w:val="24"/>
        </w:rPr>
        <w:t xml:space="preserve"> P. Nghiem, Viet-Phuong La, Thu-Trang </w:t>
      </w:r>
      <w:proofErr w:type="spellStart"/>
      <w:r w:rsidRPr="005665FF">
        <w:rPr>
          <w:rFonts w:ascii="Arial" w:eastAsia="Times New Roman" w:hAnsi="Arial" w:cs="Arial"/>
          <w:color w:val="000000"/>
          <w:sz w:val="24"/>
          <w:szCs w:val="24"/>
        </w:rPr>
        <w:t>Vuong</w:t>
      </w:r>
      <w:proofErr w:type="spellEnd"/>
      <w:r w:rsidRPr="005665FF">
        <w:rPr>
          <w:rFonts w:ascii="Arial" w:eastAsia="Times New Roman" w:hAnsi="Arial" w:cs="Arial"/>
          <w:color w:val="000000"/>
          <w:sz w:val="24"/>
          <w:szCs w:val="24"/>
        </w:rPr>
        <w:t>, Hong-Kong T. Nguyen and others. Sustainability, 2019, volume 11, number 2, p. 514.</w:t>
      </w:r>
    </w:p>
    <w:p w14:paraId="5188275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66" w:tgtFrame="_blank" w:history="1">
        <w:r w:rsidRPr="005665FF">
          <w:rPr>
            <w:rFonts w:ascii="Arial" w:eastAsia="Times New Roman" w:hAnsi="Arial" w:cs="Arial"/>
            <w:color w:val="1155CC"/>
            <w:sz w:val="24"/>
            <w:szCs w:val="24"/>
            <w:u w:val="single"/>
          </w:rPr>
          <w:t>http://www.mdpi.com/2071-1050/11/2/514</w:t>
        </w:r>
      </w:hyperlink>
      <w:r w:rsidRPr="005665FF">
        <w:rPr>
          <w:rFonts w:ascii="Arial" w:eastAsia="Times New Roman" w:hAnsi="Arial" w:cs="Arial"/>
          <w:color w:val="000000"/>
          <w:sz w:val="24"/>
          <w:szCs w:val="24"/>
        </w:rPr>
        <w:t>.</w:t>
      </w:r>
    </w:p>
    <w:p w14:paraId="6F5B3E0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A68710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study focuses on the association of sex differences and psychological factors with periodic general health examination (GHE) behaviors. We conducted a survey in Hanoi and the surrounding areas, collecting 2068 valid observations; the </w:t>
      </w:r>
      <w:r w:rsidRPr="005665FF">
        <w:rPr>
          <w:rFonts w:ascii="Arial" w:eastAsia="Times New Roman" w:hAnsi="Arial" w:cs="Arial"/>
          <w:color w:val="000000"/>
          <w:sz w:val="24"/>
          <w:szCs w:val="24"/>
        </w:rPr>
        <w:lastRenderedPageBreak/>
        <w:t>cross-section dataset was then analyzed using the baseline category logit model. The study shows that most people are afraid of discovering diseases through general health examinations (76.64%), and the fear of illness detection appears to be stronger for females than for males (β1(male) = −0.409, p &lt; 0.001). People whose friends/relatives have experienced prolonged treatment tend to show more hesitation in participating in physical check-ups (β2 = 0.221, p &lt; 0.05). On the ideal frequency of GHEs, 90% of the participants agree on once or twice a year. The probability of considering a certain period of time as an appropriate frequency for GHEs changes in accordance with the last doctor visit (low probability of a health examination every 18 months) and one’s fear of potential health problems post-checkup (no fear raises probability of viewing a health examination every 6 months by 9–13 percentage points). The results add to the literature on periodic GHE in particular and on preventive health behaviors in general.</w:t>
      </w:r>
    </w:p>
    <w:p w14:paraId="33C61B8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AB1EC5F"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5219C92D" w14:textId="76C5EEBF"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4247AEB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306ADD9"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20" w:name="m_8873885906141426999__Toc2349125"/>
      <w:r w:rsidRPr="005665FF">
        <w:rPr>
          <w:rFonts w:ascii="Calibri" w:eastAsia="Times New Roman" w:hAnsi="Calibri" w:cs="Calibri"/>
          <w:b/>
          <w:bCs/>
          <w:color w:val="800000"/>
        </w:rPr>
        <w:t xml:space="preserve">Study Design for the 2016 Baseline Survey of a Health System Strengthening Project in Quoc </w:t>
      </w:r>
      <w:proofErr w:type="spellStart"/>
      <w:r w:rsidRPr="005665FF">
        <w:rPr>
          <w:rFonts w:ascii="Calibri" w:eastAsia="Times New Roman" w:hAnsi="Calibri" w:cs="Calibri"/>
          <w:b/>
          <w:bCs/>
          <w:color w:val="800000"/>
        </w:rPr>
        <w:t>Oai</w:t>
      </w:r>
      <w:proofErr w:type="spellEnd"/>
      <w:r w:rsidRPr="005665FF">
        <w:rPr>
          <w:rFonts w:ascii="Calibri" w:eastAsia="Times New Roman" w:hAnsi="Calibri" w:cs="Calibri"/>
          <w:b/>
          <w:bCs/>
          <w:color w:val="800000"/>
        </w:rPr>
        <w:t xml:space="preserve"> District, Hanoi, Vietnam.</w:t>
      </w:r>
      <w:bookmarkEnd w:id="120"/>
    </w:p>
    <w:p w14:paraId="424831F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Van Minh Hoang, </w:t>
      </w:r>
      <w:proofErr w:type="spellStart"/>
      <w:r w:rsidRPr="005665FF">
        <w:rPr>
          <w:rFonts w:ascii="Arial" w:eastAsia="Times New Roman" w:hAnsi="Arial" w:cs="Arial"/>
          <w:color w:val="000000"/>
          <w:sz w:val="24"/>
          <w:szCs w:val="24"/>
        </w:rPr>
        <w:t>Juhwan</w:t>
      </w:r>
      <w:proofErr w:type="spellEnd"/>
      <w:r w:rsidRPr="005665FF">
        <w:rPr>
          <w:rFonts w:ascii="Arial" w:eastAsia="Times New Roman" w:hAnsi="Arial" w:cs="Arial"/>
          <w:color w:val="000000"/>
          <w:sz w:val="24"/>
          <w:szCs w:val="24"/>
        </w:rPr>
        <w:t xml:space="preserve"> Oh, Bao Ngoc Nguyen, Le Minh </w:t>
      </w:r>
      <w:proofErr w:type="spellStart"/>
      <w:r w:rsidRPr="005665FF">
        <w:rPr>
          <w:rFonts w:ascii="Arial" w:eastAsia="Times New Roman" w:hAnsi="Arial" w:cs="Arial"/>
          <w:color w:val="000000"/>
          <w:sz w:val="24"/>
          <w:szCs w:val="24"/>
        </w:rPr>
        <w:t>Dat</w:t>
      </w:r>
      <w:proofErr w:type="spellEnd"/>
      <w:r w:rsidRPr="005665FF">
        <w:rPr>
          <w:rFonts w:ascii="Arial" w:eastAsia="Times New Roman" w:hAnsi="Arial" w:cs="Arial"/>
          <w:color w:val="000000"/>
          <w:sz w:val="24"/>
          <w:szCs w:val="24"/>
        </w:rPr>
        <w:t>, Jong-Koo Lee and others. Journal of Korean medical science, 2019, volume 34, number 5, pp. e42-e42.</w:t>
      </w:r>
    </w:p>
    <w:p w14:paraId="66B21CF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67" w:tgtFrame="_blank" w:history="1">
        <w:r w:rsidRPr="005665FF">
          <w:rPr>
            <w:rFonts w:ascii="Arial" w:eastAsia="Times New Roman" w:hAnsi="Arial" w:cs="Arial"/>
            <w:color w:val="1155CC"/>
            <w:sz w:val="24"/>
            <w:szCs w:val="24"/>
            <w:u w:val="single"/>
          </w:rPr>
          <w:t>https://www.ncbi.nlm.nih.gov/pubmed/30718994</w:t>
        </w:r>
      </w:hyperlink>
    </w:p>
    <w:p w14:paraId="5A0ECF3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hyperlink r:id="rId68" w:tgtFrame="_blank" w:history="1">
        <w:r w:rsidRPr="005665FF">
          <w:rPr>
            <w:rFonts w:ascii="Arial" w:eastAsia="Times New Roman" w:hAnsi="Arial" w:cs="Arial"/>
            <w:color w:val="1155CC"/>
            <w:sz w:val="24"/>
            <w:szCs w:val="24"/>
            <w:u w:val="single"/>
          </w:rPr>
          <w:t>https://www.ncbi.nlm.nih.gov/pmc/PMC6356029/</w:t>
        </w:r>
      </w:hyperlink>
      <w:r w:rsidRPr="005665FF">
        <w:rPr>
          <w:rFonts w:ascii="Arial" w:eastAsia="Times New Roman" w:hAnsi="Arial" w:cs="Arial"/>
          <w:color w:val="000000"/>
          <w:sz w:val="24"/>
          <w:szCs w:val="24"/>
        </w:rPr>
        <w:t>.</w:t>
      </w:r>
    </w:p>
    <w:p w14:paraId="0530E28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F70061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BACKGROUND: In order to provide essential scientific evidence on the population's health status and social health determinants as well as the current capacity of the health care system in Vietnam to health policy makers and managers, Vietnam Ministry of Health, Hanoi University of Public Health, Hanoi Medical University, and Ho Chi Minh University of Medicine and Pharmacy collaborated with Seoul National University (Korea) and conducted a health system survey in the Quoc </w:t>
      </w:r>
      <w:proofErr w:type="spellStart"/>
      <w:r w:rsidRPr="005665FF">
        <w:rPr>
          <w:rFonts w:ascii="Arial" w:eastAsia="Times New Roman" w:hAnsi="Arial" w:cs="Arial"/>
          <w:color w:val="000000"/>
          <w:sz w:val="24"/>
          <w:szCs w:val="24"/>
        </w:rPr>
        <w:t>Oai</w:t>
      </w:r>
      <w:proofErr w:type="spellEnd"/>
      <w:r w:rsidRPr="005665FF">
        <w:rPr>
          <w:rFonts w:ascii="Arial" w:eastAsia="Times New Roman" w:hAnsi="Arial" w:cs="Arial"/>
          <w:color w:val="000000"/>
          <w:sz w:val="24"/>
          <w:szCs w:val="24"/>
        </w:rPr>
        <w:t xml:space="preserve"> district (of Hanoi capital) that represented northern rural Vietnam. METHODS: The study design was a cross-sectional study. The survey covered different topics (more than 200 questions) and was administered in three separate questionnaires: 1) Basic information of all household members; 2) Household characteristics; and 3) Individual characteristics. Socio-demographic characteristics among the households and individuals were collected from 2,400 households sampled by multi-stage cluster sampling method: more than 200 questions. RESULTS: The household size of Quoc </w:t>
      </w:r>
      <w:proofErr w:type="spellStart"/>
      <w:r w:rsidRPr="005665FF">
        <w:rPr>
          <w:rFonts w:ascii="Arial" w:eastAsia="Times New Roman" w:hAnsi="Arial" w:cs="Arial"/>
          <w:color w:val="000000"/>
          <w:sz w:val="24"/>
          <w:szCs w:val="24"/>
        </w:rPr>
        <w:t>Oai</w:t>
      </w:r>
      <w:proofErr w:type="spellEnd"/>
      <w:r w:rsidRPr="005665FF">
        <w:rPr>
          <w:rFonts w:ascii="Arial" w:eastAsia="Times New Roman" w:hAnsi="Arial" w:cs="Arial"/>
          <w:color w:val="000000"/>
          <w:sz w:val="24"/>
          <w:szCs w:val="24"/>
        </w:rPr>
        <w:t xml:space="preserve"> was larger than the national average and there was no significant difference in </w:t>
      </w:r>
      <w:r w:rsidRPr="005665FF">
        <w:rPr>
          <w:rFonts w:ascii="Arial" w:eastAsia="Times New Roman" w:hAnsi="Arial" w:cs="Arial"/>
          <w:color w:val="000000"/>
          <w:sz w:val="24"/>
          <w:szCs w:val="24"/>
        </w:rPr>
        <w:lastRenderedPageBreak/>
        <w:t xml:space="preserve">gender composition. In addition, the proportions of pre-elderly, age 55-64, and elderly group (65 years old and over) were higher than the national population statistics. In this context, demographic transition has begun in Quoc </w:t>
      </w:r>
      <w:proofErr w:type="spellStart"/>
      <w:r w:rsidRPr="005665FF">
        <w:rPr>
          <w:rFonts w:ascii="Arial" w:eastAsia="Times New Roman" w:hAnsi="Arial" w:cs="Arial"/>
          <w:color w:val="000000"/>
          <w:sz w:val="24"/>
          <w:szCs w:val="24"/>
        </w:rPr>
        <w:t>Oai</w:t>
      </w:r>
      <w:proofErr w:type="spellEnd"/>
      <w:r w:rsidRPr="005665FF">
        <w:rPr>
          <w:rFonts w:ascii="Arial" w:eastAsia="Times New Roman" w:hAnsi="Arial" w:cs="Arial"/>
          <w:color w:val="000000"/>
          <w:sz w:val="24"/>
          <w:szCs w:val="24"/>
        </w:rPr>
        <w:t>. CONCLUSION: This study design description provides the basic information about a baseline survey of a future prospective cohort (as a part of a collaborative project on strengthening the health system in Vietnam) to the prospective data user of this survey.</w:t>
      </w:r>
    </w:p>
    <w:p w14:paraId="47A5F25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44F2C4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21" w:name="m_8873885906141426999__Toc2349126"/>
      <w:r w:rsidRPr="005665FF">
        <w:rPr>
          <w:rFonts w:ascii="Calibri" w:eastAsia="Times New Roman" w:hAnsi="Calibri" w:cs="Calibri"/>
          <w:b/>
          <w:bCs/>
          <w:color w:val="800000"/>
        </w:rPr>
        <w:t>Artificial Intelligence vs. Natural Stupidity: Evaluating AI Readiness for the Vietnamese Medical Information System.</w:t>
      </w:r>
      <w:bookmarkEnd w:id="121"/>
    </w:p>
    <w:p w14:paraId="2C637C5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Quan-Hoang </w:t>
      </w:r>
      <w:proofErr w:type="spellStart"/>
      <w:r w:rsidRPr="005665FF">
        <w:rPr>
          <w:rFonts w:ascii="Arial" w:eastAsia="Times New Roman" w:hAnsi="Arial" w:cs="Arial"/>
          <w:color w:val="000000"/>
          <w:sz w:val="24"/>
          <w:szCs w:val="24"/>
        </w:rPr>
        <w:t>Vuong</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Manh</w:t>
      </w:r>
      <w:proofErr w:type="spellEnd"/>
      <w:r w:rsidRPr="005665FF">
        <w:rPr>
          <w:rFonts w:ascii="Arial" w:eastAsia="Times New Roman" w:hAnsi="Arial" w:cs="Arial"/>
          <w:color w:val="000000"/>
          <w:sz w:val="24"/>
          <w:szCs w:val="24"/>
        </w:rPr>
        <w:t xml:space="preserve">-Tung Ho, Thu-Trang </w:t>
      </w:r>
      <w:proofErr w:type="spellStart"/>
      <w:r w:rsidRPr="005665FF">
        <w:rPr>
          <w:rFonts w:ascii="Arial" w:eastAsia="Times New Roman" w:hAnsi="Arial" w:cs="Arial"/>
          <w:color w:val="000000"/>
          <w:sz w:val="24"/>
          <w:szCs w:val="24"/>
        </w:rPr>
        <w:t>Vuong</w:t>
      </w:r>
      <w:proofErr w:type="spellEnd"/>
      <w:r w:rsidRPr="005665FF">
        <w:rPr>
          <w:rFonts w:ascii="Arial" w:eastAsia="Times New Roman" w:hAnsi="Arial" w:cs="Arial"/>
          <w:color w:val="000000"/>
          <w:sz w:val="24"/>
          <w:szCs w:val="24"/>
        </w:rPr>
        <w:t xml:space="preserve">, Viet-Phuong La, </w:t>
      </w:r>
      <w:proofErr w:type="spellStart"/>
      <w:r w:rsidRPr="005665FF">
        <w:rPr>
          <w:rFonts w:ascii="Arial" w:eastAsia="Times New Roman" w:hAnsi="Arial" w:cs="Arial"/>
          <w:color w:val="000000"/>
          <w:sz w:val="24"/>
          <w:szCs w:val="24"/>
        </w:rPr>
        <w:t>Manh-Toan</w:t>
      </w:r>
      <w:proofErr w:type="spellEnd"/>
      <w:r w:rsidRPr="005665FF">
        <w:rPr>
          <w:rFonts w:ascii="Arial" w:eastAsia="Times New Roman" w:hAnsi="Arial" w:cs="Arial"/>
          <w:color w:val="000000"/>
          <w:sz w:val="24"/>
          <w:szCs w:val="24"/>
        </w:rPr>
        <w:t xml:space="preserve"> Ho and others. Journal of Clinical Medicine, 2019, volume 8, number 2, p. 168.</w:t>
      </w:r>
    </w:p>
    <w:p w14:paraId="7FA6AEF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69" w:tgtFrame="_blank" w:history="1">
        <w:r w:rsidRPr="005665FF">
          <w:rPr>
            <w:rFonts w:ascii="Arial" w:eastAsia="Times New Roman" w:hAnsi="Arial" w:cs="Arial"/>
            <w:color w:val="1155CC"/>
            <w:sz w:val="24"/>
            <w:szCs w:val="24"/>
            <w:u w:val="single"/>
          </w:rPr>
          <w:t>http://www.mdpi.com/2077-0383/8/2/168</w:t>
        </w:r>
      </w:hyperlink>
      <w:r w:rsidRPr="005665FF">
        <w:rPr>
          <w:rFonts w:ascii="Arial" w:eastAsia="Times New Roman" w:hAnsi="Arial" w:cs="Arial"/>
          <w:color w:val="000000"/>
          <w:sz w:val="24"/>
          <w:szCs w:val="24"/>
        </w:rPr>
        <w:t>.</w:t>
      </w:r>
    </w:p>
    <w:p w14:paraId="3892EF8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7FBF81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This review paper presents a framework to evaluate the artificial intelligence (AI) readiness for the healthcare sector in developing countries: a combination of adequate technical or technological expertise, financial sustainability, and socio-political commitment embedded in a healthy psycho-cultural context could bring about the smooth transitioning toward an AI-powered healthcare sector. Taking the Vietnamese healthcare sector as a case study, this paper attempts to clarify the negative and positive influencers. With only about 1500 publications about AI from 1998 to 2017 according to the latest Elsevier AI report, Vietnamese physicians are still capable of applying the state-of-the-art AI techniques in their research. However, a deeper look at the funding sources suggests a lack of socio-political commitment, hence the financial sustainability, to advance the field. The AI readiness in Vietnam’s healthcare also suffers from the unprepared information infrastructure—using text mining for the official annual reports from 2012 to 2016 of the Ministry of Health, the paper found that the frequency of the word “database” actually decreases from 2012 to 2016, and the word has a high probability to accompany words such as “lacking”, “standardizing”, “inefficient”, and “inaccurate.” Finally, manifestations of psycho-cultural elements such as the public’s mistaken views on AI or the non-transparent, inflexible and redundant of Vietnamese organizational structures can impede the transition to an AI-powered healthcare sector.</w:t>
      </w:r>
    </w:p>
    <w:p w14:paraId="561C82EA"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7AF0BE8D" w14:textId="1ED72812"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r w:rsidR="005665FF" w:rsidRPr="005665FF">
        <w:rPr>
          <w:rFonts w:ascii="Arial" w:eastAsia="Times New Roman" w:hAnsi="Arial" w:cs="Arial"/>
          <w:color w:val="000000"/>
          <w:sz w:val="24"/>
          <w:szCs w:val="24"/>
        </w:rPr>
        <w:t> </w:t>
      </w:r>
    </w:p>
    <w:p w14:paraId="00CB17D8"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22" w:name="m_8873885906141426999__Toc2349127"/>
      <w:r w:rsidRPr="005665FF">
        <w:rPr>
          <w:rFonts w:ascii="Arial" w:eastAsia="Times New Roman" w:hAnsi="Arial" w:cs="Arial"/>
          <w:b/>
          <w:bCs/>
          <w:color w:val="FFFFFF"/>
          <w:kern w:val="36"/>
          <w:sz w:val="48"/>
          <w:szCs w:val="48"/>
        </w:rPr>
        <w:t>ENERGY</w:t>
      </w:r>
      <w:bookmarkEnd w:id="122"/>
    </w:p>
    <w:p w14:paraId="0A5E6D3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391D111"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23" w:name="m_8873885906141426999__Toc2349128"/>
      <w:r w:rsidRPr="005665FF">
        <w:rPr>
          <w:rFonts w:ascii="Calibri" w:eastAsia="Times New Roman" w:hAnsi="Calibri" w:cs="Calibri"/>
          <w:b/>
          <w:bCs/>
          <w:color w:val="800000"/>
        </w:rPr>
        <w:t>Vietnam – Maximizing Finance for Development in the Energy Sector.</w:t>
      </w:r>
      <w:bookmarkEnd w:id="123"/>
    </w:p>
    <w:p w14:paraId="6C0E73F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xml:space="preserve">Franz </w:t>
      </w:r>
      <w:proofErr w:type="spellStart"/>
      <w:r w:rsidRPr="005665FF">
        <w:rPr>
          <w:rFonts w:ascii="Arial" w:eastAsia="Times New Roman" w:hAnsi="Arial" w:cs="Arial"/>
          <w:color w:val="000000"/>
          <w:sz w:val="24"/>
          <w:szCs w:val="24"/>
        </w:rPr>
        <w:t>Gerner</w:t>
      </w:r>
      <w:proofErr w:type="spellEnd"/>
      <w:r w:rsidRPr="005665FF">
        <w:rPr>
          <w:rFonts w:ascii="Arial" w:eastAsia="Times New Roman" w:hAnsi="Arial" w:cs="Arial"/>
          <w:color w:val="000000"/>
          <w:sz w:val="24"/>
          <w:szCs w:val="24"/>
        </w:rPr>
        <w:t xml:space="preserve">, Mark Alexander </w:t>
      </w:r>
      <w:proofErr w:type="spellStart"/>
      <w:r w:rsidRPr="005665FF">
        <w:rPr>
          <w:rFonts w:ascii="Arial" w:eastAsia="Times New Roman" w:hAnsi="Arial" w:cs="Arial"/>
          <w:color w:val="000000"/>
          <w:sz w:val="24"/>
          <w:szCs w:val="24"/>
        </w:rPr>
        <w:t>Giblett</w:t>
      </w:r>
      <w:proofErr w:type="spellEnd"/>
      <w:r w:rsidRPr="005665FF">
        <w:rPr>
          <w:rFonts w:ascii="Arial" w:eastAsia="Times New Roman" w:hAnsi="Arial" w:cs="Arial"/>
          <w:color w:val="000000"/>
          <w:sz w:val="24"/>
          <w:szCs w:val="24"/>
        </w:rPr>
        <w:t xml:space="preserve">, Alwaleed Fareed </w:t>
      </w:r>
      <w:proofErr w:type="spellStart"/>
      <w:r w:rsidRPr="005665FF">
        <w:rPr>
          <w:rFonts w:ascii="Arial" w:eastAsia="Times New Roman" w:hAnsi="Arial" w:cs="Arial"/>
          <w:color w:val="000000"/>
          <w:sz w:val="24"/>
          <w:szCs w:val="24"/>
        </w:rPr>
        <w:t>Alatabani</w:t>
      </w:r>
      <w:proofErr w:type="spellEnd"/>
      <w:r w:rsidRPr="005665FF">
        <w:rPr>
          <w:rFonts w:ascii="Arial" w:eastAsia="Times New Roman" w:hAnsi="Arial" w:cs="Arial"/>
          <w:color w:val="000000"/>
          <w:sz w:val="24"/>
          <w:szCs w:val="24"/>
        </w:rPr>
        <w:t xml:space="preserve">, Oliver Patrick Behrend, Sebastian </w:t>
      </w:r>
      <w:proofErr w:type="spellStart"/>
      <w:r w:rsidRPr="005665FF">
        <w:rPr>
          <w:rFonts w:ascii="Arial" w:eastAsia="Times New Roman" w:hAnsi="Arial" w:cs="Arial"/>
          <w:color w:val="000000"/>
          <w:sz w:val="24"/>
          <w:szCs w:val="24"/>
        </w:rPr>
        <w:t>Eckardt</w:t>
      </w:r>
      <w:proofErr w:type="spellEnd"/>
      <w:r w:rsidRPr="005665FF">
        <w:rPr>
          <w:rFonts w:ascii="Arial" w:eastAsia="Times New Roman" w:hAnsi="Arial" w:cs="Arial"/>
          <w:color w:val="000000"/>
          <w:sz w:val="24"/>
          <w:szCs w:val="24"/>
        </w:rPr>
        <w:t xml:space="preserve"> and others. World Bank, 2018.</w:t>
      </w:r>
    </w:p>
    <w:p w14:paraId="0182E95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70" w:tgtFrame="_blank" w:history="1">
        <w:r w:rsidRPr="005665FF">
          <w:rPr>
            <w:rFonts w:ascii="Arial" w:eastAsia="Times New Roman" w:hAnsi="Arial" w:cs="Arial"/>
            <w:color w:val="1155CC"/>
            <w:sz w:val="24"/>
            <w:szCs w:val="24"/>
            <w:u w:val="single"/>
          </w:rPr>
          <w:t>http://documents.worldbank.org/curated/en/290361547820276005/Vietnam-Maximizing-Finance-for-Development-in-the-Energy-Sector</w:t>
        </w:r>
      </w:hyperlink>
      <w:r w:rsidRPr="005665FF">
        <w:rPr>
          <w:rFonts w:ascii="Arial" w:eastAsia="Times New Roman" w:hAnsi="Arial" w:cs="Arial"/>
          <w:color w:val="000000"/>
          <w:sz w:val="24"/>
          <w:szCs w:val="24"/>
        </w:rPr>
        <w:t>.</w:t>
      </w:r>
    </w:p>
    <w:p w14:paraId="163DE9E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042E0B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Vietnam has successfully developed the electricity and gas sectors that have contributed substantially to the economic development of Vietnam. To date, near universal electrification has been achieved, and the industrial, commercial, and residential sectors benefit from increasingly reliable electricity and gas supply. By early 2018, 99.9 percent of the country's communes and 99 percent of its rural households were connected to the grid. Both EVN and PVN, the state-owned electricity and gas utilities, are operationally and technically strong. Vietnam has a hydropower system, claiming 38 percent of installed capacity in 2017, followed by coal (34 percent) and natural gas (18 percent). Future investment requirements in generation are huge, and the country is expected to increase generation capacity from the current 42 GW to 100 GW by 2030. Because </w:t>
      </w:r>
      <w:proofErr w:type="spellStart"/>
      <w:r w:rsidRPr="005665FF">
        <w:rPr>
          <w:rFonts w:ascii="Arial" w:eastAsia="Times New Roman" w:hAnsi="Arial" w:cs="Arial"/>
          <w:color w:val="000000"/>
          <w:sz w:val="24"/>
          <w:szCs w:val="24"/>
        </w:rPr>
        <w:t>mostdomestic</w:t>
      </w:r>
      <w:proofErr w:type="spellEnd"/>
      <w:r w:rsidRPr="005665FF">
        <w:rPr>
          <w:rFonts w:ascii="Arial" w:eastAsia="Times New Roman" w:hAnsi="Arial" w:cs="Arial"/>
          <w:color w:val="000000"/>
          <w:sz w:val="24"/>
          <w:szCs w:val="24"/>
        </w:rPr>
        <w:t xml:space="preserve"> hydropower resources have already been developed, and to reduce the planned scale-up of coal-fired power generation, Vietnam has established renewables targets for solar and wind (18 GW by 2030). Starting in 1995, PVN, jointly with international oil and gas companies, developed large-scale gas fields in offshore central and southern Vietnam. In 2017, total offshore gas production was about 10 </w:t>
      </w:r>
      <w:proofErr w:type="spellStart"/>
      <w:r w:rsidRPr="005665FF">
        <w:rPr>
          <w:rFonts w:ascii="Arial" w:eastAsia="Times New Roman" w:hAnsi="Arial" w:cs="Arial"/>
          <w:color w:val="000000"/>
          <w:sz w:val="24"/>
          <w:szCs w:val="24"/>
        </w:rPr>
        <w:t>bcm</w:t>
      </w:r>
      <w:proofErr w:type="spellEnd"/>
      <w:r w:rsidRPr="005665FF">
        <w:rPr>
          <w:rFonts w:ascii="Arial" w:eastAsia="Times New Roman" w:hAnsi="Arial" w:cs="Arial"/>
          <w:color w:val="000000"/>
          <w:sz w:val="24"/>
          <w:szCs w:val="24"/>
        </w:rPr>
        <w:t>, mostly destined for gas-to-power. PVN is one of the most significant enterprises operating in the Vietnamese economy, accounting for about 20 percent of national GDP and contributing to 20–30 percent of state budget revenues. To improve the efficiency of the gas and power sector, the government has embarked on introducing competition in those sectors. Electricity liberalization started in 2004 with the unbundling of EVN, the establishment of a regulator, and the introduction of a competitive generation market to ensure long-term sustainability of the power supply. The wholesale electricity market will be fully operational by 2021, allowing large eligible consumers to contract directly with power generators. The government is embarking on a similar liberalization process for gas, is currently preparing a relevant restructuring roadmap for PVN, and introducing a legal and regulatory framework for promoting LNG development, especially for gas-to-power.</w:t>
      </w:r>
    </w:p>
    <w:p w14:paraId="00B4A33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A70DFB9"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2CE744F6" w14:textId="3743AAE1"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3F4D572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5145017"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24" w:name="m_8873885906141426999__Toc2349129"/>
      <w:r w:rsidRPr="005665FF">
        <w:rPr>
          <w:rFonts w:ascii="Arial" w:eastAsia="Times New Roman" w:hAnsi="Arial" w:cs="Arial"/>
          <w:b/>
          <w:bCs/>
          <w:color w:val="FFFFFF"/>
          <w:kern w:val="36"/>
          <w:sz w:val="48"/>
          <w:szCs w:val="48"/>
        </w:rPr>
        <w:lastRenderedPageBreak/>
        <w:t>INFRASTRUCTURE AND URBAN DEVELOPMENT</w:t>
      </w:r>
      <w:bookmarkEnd w:id="124"/>
    </w:p>
    <w:p w14:paraId="47513BE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273D394"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25" w:name="m_8873885906141426999__Toc2349130"/>
      <w:r w:rsidRPr="005665FF">
        <w:rPr>
          <w:rFonts w:ascii="Calibri" w:eastAsia="Times New Roman" w:hAnsi="Calibri" w:cs="Calibri"/>
          <w:b/>
          <w:bCs/>
          <w:color w:val="800000"/>
        </w:rPr>
        <w:t>Risk of Quantity Increase in Vietnamese Construction Projects.</w:t>
      </w:r>
      <w:bookmarkEnd w:id="125"/>
    </w:p>
    <w:p w14:paraId="0088934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S. Y. Kim, H. D. </w:t>
      </w:r>
      <w:proofErr w:type="spellStart"/>
      <w:r w:rsidRPr="005665FF">
        <w:rPr>
          <w:rFonts w:ascii="Arial" w:eastAsia="Times New Roman" w:hAnsi="Arial" w:cs="Arial"/>
          <w:color w:val="000000"/>
          <w:sz w:val="24"/>
          <w:szCs w:val="24"/>
        </w:rPr>
        <w:t>Khanh</w:t>
      </w:r>
      <w:proofErr w:type="spellEnd"/>
      <w:r w:rsidRPr="005665FF">
        <w:rPr>
          <w:rFonts w:ascii="Arial" w:eastAsia="Times New Roman" w:hAnsi="Arial" w:cs="Arial"/>
          <w:color w:val="000000"/>
          <w:sz w:val="24"/>
          <w:szCs w:val="24"/>
        </w:rPr>
        <w:t xml:space="preserve"> and V. T. </w:t>
      </w:r>
      <w:proofErr w:type="spellStart"/>
      <w:r w:rsidRPr="005665FF">
        <w:rPr>
          <w:rFonts w:ascii="Arial" w:eastAsia="Times New Roman" w:hAnsi="Arial" w:cs="Arial"/>
          <w:color w:val="000000"/>
          <w:sz w:val="24"/>
          <w:szCs w:val="24"/>
        </w:rPr>
        <w:t>Binh</w:t>
      </w:r>
      <w:proofErr w:type="spellEnd"/>
      <w:r w:rsidRPr="005665FF">
        <w:rPr>
          <w:rFonts w:ascii="Arial" w:eastAsia="Times New Roman" w:hAnsi="Arial" w:cs="Arial"/>
          <w:color w:val="000000"/>
          <w:sz w:val="24"/>
          <w:szCs w:val="24"/>
        </w:rPr>
        <w:t>. 2018 IEEE International Conference on Industrial Engineering and Engineering Management (IEEM), 2018.</w:t>
      </w:r>
    </w:p>
    <w:p w14:paraId="1286113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C4E197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Quantity increase is a common problem in the construction sector. The main purpose of this study is to determine potential factors causing quantity increase in construction projects using governmental budgets. This study then points out some relevant solutions to reduce the occurrence of quantity increase. There were totally 18 factors causing quantity increase found from the literature review and expert’s opinion. A structured questionnaire, which was designed with the 5-point Likert scale, was used to collect data. The results of analysis showed that these factors have strong impact on the quantity increase of the construction projects. The consensus level between project parties in ranking the factors of quantity increase according to frequency index, severity index, and importance index are quite high. In addition, the risk of cost due to the quantity increases was quantitatively analyzed by using Monte Carlo simulation through 21 school construction </w:t>
      </w:r>
      <w:proofErr w:type="spellStart"/>
      <w:proofErr w:type="gramStart"/>
      <w:r w:rsidRPr="005665FF">
        <w:rPr>
          <w:rFonts w:ascii="Arial" w:eastAsia="Times New Roman" w:hAnsi="Arial" w:cs="Arial"/>
          <w:color w:val="000000"/>
          <w:sz w:val="24"/>
          <w:szCs w:val="24"/>
        </w:rPr>
        <w:t>projects.File</w:t>
      </w:r>
      <w:proofErr w:type="spellEnd"/>
      <w:proofErr w:type="gramEnd"/>
      <w:r w:rsidRPr="005665FF">
        <w:rPr>
          <w:rFonts w:ascii="Arial" w:eastAsia="Times New Roman" w:hAnsi="Arial" w:cs="Arial"/>
          <w:color w:val="000000"/>
          <w:sz w:val="24"/>
          <w:szCs w:val="24"/>
        </w:rPr>
        <w:t xml:space="preserve"> Attachments]|.</w:t>
      </w:r>
    </w:p>
    <w:p w14:paraId="1B346E1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57162B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26" w:name="m_8873885906141426999__Toc2349131"/>
      <w:r w:rsidRPr="005665FF">
        <w:rPr>
          <w:rFonts w:ascii="Calibri" w:eastAsia="Times New Roman" w:hAnsi="Calibri" w:cs="Calibri"/>
          <w:b/>
          <w:bCs/>
          <w:color w:val="800000"/>
        </w:rPr>
        <w:t>Neoliberal Urbanism, Contested Cities and Housing in Asia.</w:t>
      </w:r>
      <w:bookmarkEnd w:id="126"/>
    </w:p>
    <w:p w14:paraId="29E5F7C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Yi-Ling Chen and Hyun Bang Shin. Palgrave Macmillan, 2019.</w:t>
      </w:r>
    </w:p>
    <w:p w14:paraId="7660591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946136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Considering Asian cities ranging from Taipei, Hong Kong and Bangkok to Hanoi, Nanjing and Seoul, this collection discusses the socio-political processes of how </w:t>
      </w:r>
      <w:proofErr w:type="spellStart"/>
      <w:r w:rsidRPr="005665FF">
        <w:rPr>
          <w:rFonts w:ascii="Arial" w:eastAsia="Times New Roman" w:hAnsi="Arial" w:cs="Arial"/>
          <w:color w:val="000000"/>
          <w:sz w:val="24"/>
          <w:szCs w:val="24"/>
        </w:rPr>
        <w:t>neoliberalization</w:t>
      </w:r>
      <w:proofErr w:type="spellEnd"/>
      <w:r w:rsidRPr="005665FF">
        <w:rPr>
          <w:rFonts w:ascii="Arial" w:eastAsia="Times New Roman" w:hAnsi="Arial" w:cs="Arial"/>
          <w:color w:val="000000"/>
          <w:sz w:val="24"/>
          <w:szCs w:val="24"/>
        </w:rPr>
        <w:t xml:space="preserve"> entwines with local political economies and legacies of ‘developmental’ or ‘socialist’ </w:t>
      </w:r>
      <w:proofErr w:type="spellStart"/>
      <w:r w:rsidRPr="005665FF">
        <w:rPr>
          <w:rFonts w:ascii="Arial" w:eastAsia="Times New Roman" w:hAnsi="Arial" w:cs="Arial"/>
          <w:color w:val="000000"/>
          <w:sz w:val="24"/>
          <w:szCs w:val="24"/>
        </w:rPr>
        <w:t>statism</w:t>
      </w:r>
      <w:proofErr w:type="spellEnd"/>
      <w:r w:rsidRPr="005665FF">
        <w:rPr>
          <w:rFonts w:ascii="Arial" w:eastAsia="Times New Roman" w:hAnsi="Arial" w:cs="Arial"/>
          <w:color w:val="000000"/>
          <w:sz w:val="24"/>
          <w:szCs w:val="24"/>
        </w:rPr>
        <w:t xml:space="preserve"> to produce urban contestations centered on housing. The book takes housing as a key entry point, given its prime position in the making of social and economic policies as well as the political legitimacy of Asian states. It examines urban policies related to housing in Asian economies in order to explore their continuing alterations and mutations, as they come into conflict and coalesce with neoliberal policies. In discussing the experience of each city, it takes into consideration the variegated relations between the state, the market and the society, and explores how the global pressure of </w:t>
      </w:r>
      <w:proofErr w:type="spellStart"/>
      <w:r w:rsidRPr="005665FF">
        <w:rPr>
          <w:rFonts w:ascii="Arial" w:eastAsia="Times New Roman" w:hAnsi="Arial" w:cs="Arial"/>
          <w:color w:val="000000"/>
          <w:sz w:val="24"/>
          <w:szCs w:val="24"/>
        </w:rPr>
        <w:t>neoliberalization</w:t>
      </w:r>
      <w:proofErr w:type="spellEnd"/>
      <w:r w:rsidRPr="005665FF">
        <w:rPr>
          <w:rFonts w:ascii="Arial" w:eastAsia="Times New Roman" w:hAnsi="Arial" w:cs="Arial"/>
          <w:color w:val="000000"/>
          <w:sz w:val="24"/>
          <w:szCs w:val="24"/>
        </w:rPr>
        <w:t xml:space="preserve"> has manifested in each country and has influenced the shaping of national housing questions.</w:t>
      </w:r>
    </w:p>
    <w:p w14:paraId="4064419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61354DD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27" w:name="m_8873885906141426999__Toc2349132"/>
      <w:proofErr w:type="gramStart"/>
      <w:r w:rsidRPr="005665FF">
        <w:rPr>
          <w:rFonts w:ascii="Calibri" w:eastAsia="Times New Roman" w:hAnsi="Calibri" w:cs="Calibri"/>
          <w:b/>
          <w:bCs/>
          <w:color w:val="800000"/>
        </w:rPr>
        <w:t>Vietnam :</w:t>
      </w:r>
      <w:proofErr w:type="gramEnd"/>
      <w:r w:rsidRPr="005665FF">
        <w:rPr>
          <w:rFonts w:ascii="Calibri" w:eastAsia="Times New Roman" w:hAnsi="Calibri" w:cs="Calibri"/>
          <w:b/>
          <w:bCs/>
          <w:color w:val="800000"/>
        </w:rPr>
        <w:t xml:space="preserve"> Technical Assistance Report-Report on Residential Property Price Statistics Capacity Development Mission.</w:t>
      </w:r>
      <w:bookmarkEnd w:id="127"/>
    </w:p>
    <w:p w14:paraId="54F91BD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International Monetary Fund. Statistics Dept. IMF Country Report No. 19/5, 2019.</w:t>
      </w:r>
    </w:p>
    <w:p w14:paraId="73ADA09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71" w:tgtFrame="_blank" w:history="1">
        <w:r w:rsidRPr="005665FF">
          <w:rPr>
            <w:rFonts w:ascii="Arial" w:eastAsia="Times New Roman" w:hAnsi="Arial" w:cs="Arial"/>
            <w:color w:val="1155CC"/>
            <w:sz w:val="24"/>
            <w:szCs w:val="24"/>
            <w:u w:val="single"/>
          </w:rPr>
          <w:t>https://www.imf.org/en/Publications/CR/Issues/2019/01/10/Vietnam-Technical-Assistance-Report-Report-on-Residential-Property-Price-Statistics-Capacity-46512?cid=em-COM-123-38226</w:t>
        </w:r>
      </w:hyperlink>
      <w:r w:rsidRPr="005665FF">
        <w:rPr>
          <w:rFonts w:ascii="Arial" w:eastAsia="Times New Roman" w:hAnsi="Arial" w:cs="Arial"/>
          <w:color w:val="000000"/>
          <w:sz w:val="24"/>
          <w:szCs w:val="24"/>
        </w:rPr>
        <w:t>.</w:t>
      </w:r>
    </w:p>
    <w:p w14:paraId="66F644A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0B584E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A technical assistance (TA) mission was conducted during July 9–13, 2018 to assist the General Statistics Office of Vietnam (GSO) with the development of a residential property price index (RPPI). This was the first mission conducted to Vietnam under the auspices of the multi-annual STA Data for Decisions (D4D) trust fund. The main objective of TA provided to Vietnam under the D4D will be to assist the GSO to develop an RPPI. The GSO recently launched two initiatives to collect potential source data for the RPPI since taxation data are unreliable in respect of reported transaction prices, and the State Bank of Vietnam (SBV) does not collect loan level mortgage data.</w:t>
      </w:r>
    </w:p>
    <w:p w14:paraId="1EB7720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A0A8314"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7E9E1230" w14:textId="5053561B"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112CBC9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C4CB291"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28" w:name="m_8873885906141426999__Toc2349133"/>
      <w:r w:rsidRPr="005665FF">
        <w:rPr>
          <w:rFonts w:ascii="Calibri" w:eastAsia="Times New Roman" w:hAnsi="Calibri" w:cs="Calibri"/>
          <w:b/>
          <w:bCs/>
          <w:color w:val="800000"/>
        </w:rPr>
        <w:t>Evaluation of retrofitting responses to urban flood risk in Ho Chi Minh City using the Motivation and Ability (MOTA) framework.</w:t>
      </w:r>
      <w:bookmarkEnd w:id="128"/>
    </w:p>
    <w:p w14:paraId="256B553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Hong Quan Nguyen, </w:t>
      </w:r>
      <w:proofErr w:type="spellStart"/>
      <w:r w:rsidRPr="005665FF">
        <w:rPr>
          <w:rFonts w:ascii="Arial" w:eastAsia="Times New Roman" w:hAnsi="Arial" w:cs="Arial"/>
          <w:color w:val="000000"/>
          <w:sz w:val="24"/>
          <w:szCs w:val="24"/>
        </w:rPr>
        <w:t>Mohanasundar</w:t>
      </w:r>
      <w:proofErr w:type="spellEnd"/>
      <w:r w:rsidRPr="005665FF">
        <w:rPr>
          <w:rFonts w:ascii="Arial" w:eastAsia="Times New Roman" w:hAnsi="Arial" w:cs="Arial"/>
          <w:color w:val="000000"/>
          <w:sz w:val="24"/>
          <w:szCs w:val="24"/>
        </w:rPr>
        <w:t xml:space="preserve"> Radhakrishnan,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Kim Ngan Bui, Dung Duc Tran, Long Phi Ho and others. Sustainable Cities and Society, 2019, volume 47, p. 101465.</w:t>
      </w:r>
    </w:p>
    <w:p w14:paraId="21B1189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2092B2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Upgrading urban services and maintaining their functionality, such as drainage systems, in a sustainable manner to keep up with the increasing demand and changing needs, like climate adaptation and socio-economic conditions, is a planning, implementation and management challenge. Retrofitting urban infrastructure is a socio-technical process like planned or autonomous adaptation, where the motivation and ability of the stakeholders should be ascertained to avoid implementation bottlenecks. This paper aims at improving the understanding of institutional decision making for implementing retrofitting responses using the Motivation and Abilities (MOTA) framework. Motivation and abilities of the stakeholders to retrofit the urban drainage </w:t>
      </w:r>
      <w:r w:rsidRPr="005665FF">
        <w:rPr>
          <w:rFonts w:ascii="Arial" w:eastAsia="Times New Roman" w:hAnsi="Arial" w:cs="Arial"/>
          <w:color w:val="000000"/>
          <w:sz w:val="24"/>
          <w:szCs w:val="24"/>
        </w:rPr>
        <w:lastRenderedPageBreak/>
        <w:t>system in Ho Chi Minh City for maintaining the service levels in a changing climate urbanization were explored. The MOTA scores, based on stakeholder consultation and surveys, were obtained for retrofitting responses. The analysis of MOTA scores revealed that the motivation and ability of the stakeholders differed based on the adaptation objectives for planning and implementing drainage retrofitting responses. Hence it is recommended to use MOTA framework as a practical means to explore the inherent biases and internal processes of various actors to understand and communicate the need to integrate decision making in a sustainable manner.</w:t>
      </w:r>
    </w:p>
    <w:p w14:paraId="54C8556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480FDAD"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29" w:name="m_8873885906141426999__Toc2349134"/>
      <w:r w:rsidRPr="005665FF">
        <w:rPr>
          <w:rFonts w:ascii="Calibri" w:eastAsia="Times New Roman" w:hAnsi="Calibri" w:cs="Calibri"/>
          <w:b/>
          <w:bCs/>
          <w:color w:val="800000"/>
        </w:rPr>
        <w:t>Megalopolitan megalomania: Ho Chi Minh City, Vietnam’s Southeastern region and the speculative growth machine.</w:t>
      </w:r>
      <w:bookmarkEnd w:id="129"/>
    </w:p>
    <w:p w14:paraId="0390A49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Erik Harms. International Planning Studies, 2019, volume 24, number 1, pp. 53-67.</w:t>
      </w:r>
    </w:p>
    <w:p w14:paraId="5F0757B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7BE363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w:t>
      </w:r>
      <w:proofErr w:type="spellStart"/>
      <w:proofErr w:type="gramStart"/>
      <w:r w:rsidRPr="005665FF">
        <w:rPr>
          <w:rFonts w:ascii="Arial" w:eastAsia="Times New Roman" w:hAnsi="Arial" w:cs="Arial"/>
          <w:color w:val="000000"/>
          <w:sz w:val="24"/>
          <w:szCs w:val="24"/>
        </w:rPr>
        <w:t>Vietnam?s</w:t>
      </w:r>
      <w:proofErr w:type="spellEnd"/>
      <w:proofErr w:type="gramEnd"/>
      <w:r w:rsidRPr="005665FF">
        <w:rPr>
          <w:rFonts w:ascii="Arial" w:eastAsia="Times New Roman" w:hAnsi="Arial" w:cs="Arial"/>
          <w:color w:val="000000"/>
          <w:sz w:val="24"/>
          <w:szCs w:val="24"/>
        </w:rPr>
        <w:t xml:space="preserve"> Eastern Southern Region is widely celebrated as the ?engine? of the </w:t>
      </w:r>
      <w:proofErr w:type="spellStart"/>
      <w:r w:rsidRPr="005665FF">
        <w:rPr>
          <w:rFonts w:ascii="Arial" w:eastAsia="Times New Roman" w:hAnsi="Arial" w:cs="Arial"/>
          <w:color w:val="000000"/>
          <w:sz w:val="24"/>
          <w:szCs w:val="24"/>
        </w:rPr>
        <w:t>country?s</w:t>
      </w:r>
      <w:proofErr w:type="spellEnd"/>
      <w:r w:rsidRPr="005665FF">
        <w:rPr>
          <w:rFonts w:ascii="Arial" w:eastAsia="Times New Roman" w:hAnsi="Arial" w:cs="Arial"/>
          <w:color w:val="000000"/>
          <w:sz w:val="24"/>
          <w:szCs w:val="24"/>
        </w:rPr>
        <w:t xml:space="preserve"> economy. Encompassing rapidly developing Ho Chi Minh City and five surrounding provinces, the </w:t>
      </w:r>
      <w:proofErr w:type="spellStart"/>
      <w:proofErr w:type="gramStart"/>
      <w:r w:rsidRPr="005665FF">
        <w:rPr>
          <w:rFonts w:ascii="Arial" w:eastAsia="Times New Roman" w:hAnsi="Arial" w:cs="Arial"/>
          <w:color w:val="000000"/>
          <w:sz w:val="24"/>
          <w:szCs w:val="24"/>
        </w:rPr>
        <w:t>region?s</w:t>
      </w:r>
      <w:proofErr w:type="spellEnd"/>
      <w:proofErr w:type="gramEnd"/>
      <w:r w:rsidRPr="005665FF">
        <w:rPr>
          <w:rFonts w:ascii="Arial" w:eastAsia="Times New Roman" w:hAnsi="Arial" w:cs="Arial"/>
          <w:color w:val="000000"/>
          <w:sz w:val="24"/>
          <w:szCs w:val="24"/>
        </w:rPr>
        <w:t xml:space="preserve"> growth is </w:t>
      </w:r>
      <w:proofErr w:type="spellStart"/>
      <w:r w:rsidRPr="005665FF">
        <w:rPr>
          <w:rFonts w:ascii="Arial" w:eastAsia="Times New Roman" w:hAnsi="Arial" w:cs="Arial"/>
          <w:color w:val="000000"/>
          <w:sz w:val="24"/>
          <w:szCs w:val="24"/>
        </w:rPr>
        <w:t>fuelled</w:t>
      </w:r>
      <w:proofErr w:type="spellEnd"/>
      <w:r w:rsidRPr="005665FF">
        <w:rPr>
          <w:rFonts w:ascii="Arial" w:eastAsia="Times New Roman" w:hAnsi="Arial" w:cs="Arial"/>
          <w:color w:val="000000"/>
          <w:sz w:val="24"/>
          <w:szCs w:val="24"/>
        </w:rPr>
        <w:t xml:space="preserve"> in part by the expansion of export processing zones and numerous master-planned development projects known as New Urban Zones. This article documents the ambitions Vietnamese government officials and planners have of transforming the region into a Megalopolis or super-city consisting of a series of integrated satellite cities with Ho Chi Minh City at its core. Because this region of Vietnam does not include any important pre-existing secondary cities of major consequence, however, this megalopolitan model risks cooptation by megalomaniacs, larger-than-life figures driven more by the exercise of power than concerns about the development of an integrated regional plan.</w:t>
      </w:r>
    </w:p>
    <w:p w14:paraId="1733CC0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369C4B3"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39270AC6" w14:textId="6BABE177"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29D52CC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2241992"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30" w:name="m_8873885906141426999__Toc2349135"/>
      <w:r w:rsidRPr="005665FF">
        <w:rPr>
          <w:rFonts w:ascii="Arial" w:eastAsia="Times New Roman" w:hAnsi="Arial" w:cs="Arial"/>
          <w:b/>
          <w:bCs/>
          <w:color w:val="FFFFFF"/>
          <w:kern w:val="36"/>
          <w:sz w:val="48"/>
          <w:szCs w:val="48"/>
        </w:rPr>
        <w:t>LABOR</w:t>
      </w:r>
      <w:bookmarkEnd w:id="130"/>
    </w:p>
    <w:p w14:paraId="6DF5EE3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EC0E809"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31" w:name="m_8873885906141426999__Toc2349136"/>
      <w:r w:rsidRPr="005665FF">
        <w:rPr>
          <w:rFonts w:ascii="Calibri" w:eastAsia="Times New Roman" w:hAnsi="Calibri" w:cs="Calibri"/>
          <w:b/>
          <w:bCs/>
          <w:color w:val="800000"/>
        </w:rPr>
        <w:t>Employment Creation in Non-Agricultural Sectors.</w:t>
      </w:r>
      <w:bookmarkEnd w:id="131"/>
    </w:p>
    <w:p w14:paraId="1992675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Isabelle </w:t>
      </w:r>
      <w:proofErr w:type="spellStart"/>
      <w:r w:rsidRPr="005665FF">
        <w:rPr>
          <w:rFonts w:ascii="Arial" w:eastAsia="Times New Roman" w:hAnsi="Arial" w:cs="Arial"/>
          <w:color w:val="000000"/>
          <w:sz w:val="24"/>
          <w:szCs w:val="24"/>
        </w:rPr>
        <w:t>Tsakok</w:t>
      </w:r>
      <w:proofErr w:type="spellEnd"/>
      <w:r w:rsidRPr="005665FF">
        <w:rPr>
          <w:rFonts w:ascii="Arial" w:eastAsia="Times New Roman" w:hAnsi="Arial" w:cs="Arial"/>
          <w:color w:val="000000"/>
          <w:sz w:val="24"/>
          <w:szCs w:val="24"/>
        </w:rPr>
        <w:t>. Policy notes &amp; Policy briefs from OCP Policy Center No 1833, 2018.</w:t>
      </w:r>
    </w:p>
    <w:p w14:paraId="2092D4F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72" w:tgtFrame="_blank" w:history="1">
        <w:r w:rsidRPr="005665FF">
          <w:rPr>
            <w:rFonts w:ascii="Arial" w:eastAsia="Times New Roman" w:hAnsi="Arial" w:cs="Arial"/>
            <w:color w:val="1155CC"/>
            <w:sz w:val="24"/>
            <w:szCs w:val="24"/>
            <w:u w:val="single"/>
          </w:rPr>
          <w:t>https://econpapers.repec.org/paper/ocpppaper/pb1833.htm</w:t>
        </w:r>
      </w:hyperlink>
      <w:r w:rsidRPr="005665FF">
        <w:rPr>
          <w:rFonts w:ascii="Arial" w:eastAsia="Times New Roman" w:hAnsi="Arial" w:cs="Arial"/>
          <w:color w:val="000000"/>
          <w:sz w:val="24"/>
          <w:szCs w:val="24"/>
        </w:rPr>
        <w:t>.</w:t>
      </w:r>
    </w:p>
    <w:p w14:paraId="3C01AEB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2798CD9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As agriculture becomes more productive, it must shed labor, which unless absorbed in non-farm jobs that pay at least as well as agriculture, would simply constitute exporting farm poverty to other sectors. Adequate employment creation is a concern of every government. However, for agriculture-dependent countries whose agricultures are being transformed, the need to generate non-farm employment is particularly urgent as higher productivity agriculture will shed labor that must find productive employment in the non-farm economy. How have governments in developing countries, burdened with extensive underemployment, particularly of youth, effectively addressed this stiff challenge? This policy brief is about how the governments of Rwanda, Vietnam, and Mauritius have effectively addressed this problem. Though the specific measures taken were different, their experiences were similar in three key respects: </w:t>
      </w:r>
      <w:proofErr w:type="gramStart"/>
      <w:r w:rsidRPr="005665FF">
        <w:rPr>
          <w:rFonts w:ascii="Arial" w:eastAsia="Times New Roman" w:hAnsi="Arial" w:cs="Arial"/>
          <w:color w:val="000000"/>
          <w:sz w:val="24"/>
          <w:szCs w:val="24"/>
        </w:rPr>
        <w:t>1.They</w:t>
      </w:r>
      <w:proofErr w:type="gramEnd"/>
      <w:r w:rsidRPr="005665FF">
        <w:rPr>
          <w:rFonts w:ascii="Arial" w:eastAsia="Times New Roman" w:hAnsi="Arial" w:cs="Arial"/>
          <w:color w:val="000000"/>
          <w:sz w:val="24"/>
          <w:szCs w:val="24"/>
        </w:rPr>
        <w:t xml:space="preserve"> focused on raising agricultural productivity growth and on diversifying agriculture; 2.They went beyond agriculture to create a supportive macro and trade framework; and 3.The employment challenge, even if successfully addressed for a period, never really diminishes. They have to continue to address new threats and opportunities as these emerge. The central message is to solve the problem of adequately creating non-farm employment, in economies where agriculture is still important (AG/GDP is 10 percent or more), sustained agricultural productivity growth is necessary but not sufficient. Too many developing countries striving to reduce extensive poverty and underemployment have found out that, first, they cannot bypass sustained growth in agricultural productivity; and second, that sustained agricultural productivity growth is, however, not sufficient. The entire economy must be transformed as well</w:t>
      </w:r>
      <w:proofErr w:type="gramStart"/>
      <w:r w:rsidRPr="005665FF">
        <w:rPr>
          <w:rFonts w:ascii="Arial" w:eastAsia="Times New Roman" w:hAnsi="Arial" w:cs="Arial"/>
          <w:color w:val="000000"/>
          <w:sz w:val="24"/>
          <w:szCs w:val="24"/>
        </w:rPr>
        <w:t>. .</w:t>
      </w:r>
      <w:proofErr w:type="gramEnd"/>
    </w:p>
    <w:p w14:paraId="2C14FB2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BF37EA0"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32" w:name="m_8873885906141426999__Toc2349137"/>
      <w:r w:rsidRPr="005665FF">
        <w:rPr>
          <w:rFonts w:ascii="Calibri" w:eastAsia="Times New Roman" w:hAnsi="Calibri" w:cs="Calibri"/>
          <w:b/>
          <w:bCs/>
          <w:color w:val="800000"/>
        </w:rPr>
        <w:t>Matching in Marriage Market and Labor Market [PhD thesis].</w:t>
      </w:r>
      <w:bookmarkEnd w:id="132"/>
    </w:p>
    <w:p w14:paraId="074DA53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gramStart"/>
      <w:r w:rsidRPr="005665FF">
        <w:rPr>
          <w:rFonts w:ascii="Arial" w:eastAsia="Times New Roman" w:hAnsi="Arial" w:cs="Arial"/>
          <w:color w:val="000000"/>
          <w:sz w:val="24"/>
          <w:szCs w:val="24"/>
        </w:rPr>
        <w:t>So</w:t>
      </w:r>
      <w:proofErr w:type="gramEnd"/>
      <w:r w:rsidRPr="005665FF">
        <w:rPr>
          <w:rFonts w:ascii="Arial" w:eastAsia="Times New Roman" w:hAnsi="Arial" w:cs="Arial"/>
          <w:color w:val="000000"/>
          <w:sz w:val="24"/>
          <w:szCs w:val="24"/>
        </w:rPr>
        <w:t xml:space="preserve"> Yoon </w:t>
      </w:r>
      <w:proofErr w:type="spellStart"/>
      <w:r w:rsidRPr="005665FF">
        <w:rPr>
          <w:rFonts w:ascii="Arial" w:eastAsia="Times New Roman" w:hAnsi="Arial" w:cs="Arial"/>
          <w:color w:val="000000"/>
          <w:sz w:val="24"/>
          <w:szCs w:val="24"/>
        </w:rPr>
        <w:t>Ahn</w:t>
      </w:r>
      <w:proofErr w:type="spellEnd"/>
      <w:r w:rsidRPr="005665FF">
        <w:rPr>
          <w:rFonts w:ascii="Arial" w:eastAsia="Times New Roman" w:hAnsi="Arial" w:cs="Arial"/>
          <w:color w:val="000000"/>
          <w:sz w:val="24"/>
          <w:szCs w:val="24"/>
        </w:rPr>
        <w:t>. Columbia University, 2018.</w:t>
      </w:r>
    </w:p>
    <w:p w14:paraId="48C7970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73" w:tgtFrame="_blank" w:history="1">
        <w:r w:rsidRPr="005665FF">
          <w:rPr>
            <w:rFonts w:ascii="Arial" w:eastAsia="Times New Roman" w:hAnsi="Arial" w:cs="Arial"/>
            <w:color w:val="1155CC"/>
            <w:sz w:val="24"/>
            <w:szCs w:val="24"/>
            <w:u w:val="single"/>
          </w:rPr>
          <w:t>https://academiccommons.columbia.edu/doi/10.7916/D8HQ5GCJ</w:t>
        </w:r>
      </w:hyperlink>
      <w:r w:rsidRPr="005665FF">
        <w:rPr>
          <w:rFonts w:ascii="Arial" w:eastAsia="Times New Roman" w:hAnsi="Arial" w:cs="Arial"/>
          <w:color w:val="000000"/>
          <w:sz w:val="24"/>
          <w:szCs w:val="24"/>
        </w:rPr>
        <w:t> (Embargo until 2019 May 1).</w:t>
      </w:r>
    </w:p>
    <w:p w14:paraId="2BF8D66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44633D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This dissertation examines how matching--in marriage markets and labor markets--can change under certain market circumstances and under different information provisions. The first two chapters analyze marriage market, with a particular focus on the impacts of cross-border marriage in marriage markets. Given the severely male-biased sex ratios in many Asian countries including China and India, demands for foreign brides are expected to grow in the near future. In the first chapter, I theoretically investigate the impacts of cross-border marriage on marital patterns and surplus division of couples. I use a frictionless transferable utility matching framework to analyze how cross-border marriage affects matching patterns and marital shares for couples. In the second chapter, I test the model's predictions, focusing on Taiwan (a wealthier side </w:t>
      </w:r>
      <w:r w:rsidRPr="005665FF">
        <w:rPr>
          <w:rFonts w:ascii="Arial" w:eastAsia="Times New Roman" w:hAnsi="Arial" w:cs="Arial"/>
          <w:color w:val="000000"/>
          <w:sz w:val="24"/>
          <w:szCs w:val="24"/>
        </w:rPr>
        <w:lastRenderedPageBreak/>
        <w:t>with male biased sex ratios) and Vietnam (a poorer side with balanced sex ratios in the marriage market). I find that cross-border marriages are predominantly made up of Taiwanese men and Vietnamese women; Taiwanese men are selected from the middle level of the socioeconomic status distribution, and Vietnamese women are positively selected. Moreover, cross-border marriage significantly affects men and women who stay in their own countries without engaging in cross-border marriage, by altering marriage rate, matching partners, and intra-household allocations within the households. My results suggest that changes in trade and immigration policies can have far-reaching implications on marital outcomes and women's bargaining power. The third chapter investigates job and jobseeker matching in labor market. Specifically, it explores whether inaccurate expectations of job seekers about their competitiveness contribute to poor job matching in developing countries. We utilize the largest online job portal in the Middle East and North Africa region to evaluate the effect of an intervention providing information about own competitiveness to job applicants. Providing information about the relative fit of an applicant's background for a particular job causes job seekers to apply for jobs that are better matches given their background. The effects of information are the largest among entry-level workers with higher levels of education, who generally face the highest unemployment rates in the region. The findings are consistent with the hypothesis that changes over time in demand for skills in the job market may lead to inaccurate expectations that hinder labor market matching. Improving the efficiency of online job search may be particularly welfare-enhancing in the Middle East and North Africa region given that the young, highly-educated subpopulation that faces the greatest labor market hurdles also has the highest level of internet connectedness.</w:t>
      </w:r>
    </w:p>
    <w:p w14:paraId="143F93B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B73C4AD"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661216A3" w14:textId="434CE22F"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5EFB588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B805A21"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33" w:name="m_8873885906141426999__Toc2349138"/>
      <w:r w:rsidRPr="005665FF">
        <w:rPr>
          <w:rFonts w:ascii="Arial" w:eastAsia="Times New Roman" w:hAnsi="Arial" w:cs="Arial"/>
          <w:b/>
          <w:bCs/>
          <w:color w:val="FFFFFF"/>
          <w:kern w:val="36"/>
          <w:sz w:val="48"/>
          <w:szCs w:val="48"/>
        </w:rPr>
        <w:t>POVERTY</w:t>
      </w:r>
      <w:bookmarkEnd w:id="133"/>
    </w:p>
    <w:p w14:paraId="360EA67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B13F9AA"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34" w:name="m_8873885906141426999__Toc2349139"/>
      <w:r w:rsidRPr="005665FF">
        <w:rPr>
          <w:rFonts w:ascii="Calibri" w:eastAsia="Times New Roman" w:hAnsi="Calibri" w:cs="Calibri"/>
          <w:b/>
          <w:bCs/>
          <w:color w:val="800000"/>
        </w:rPr>
        <w:t xml:space="preserve">Poverty Measurement in the Era of Food Away from </w:t>
      </w:r>
      <w:proofErr w:type="gramStart"/>
      <w:r w:rsidRPr="005665FF">
        <w:rPr>
          <w:rFonts w:ascii="Calibri" w:eastAsia="Times New Roman" w:hAnsi="Calibri" w:cs="Calibri"/>
          <w:b/>
          <w:bCs/>
          <w:color w:val="800000"/>
        </w:rPr>
        <w:t>Home :</w:t>
      </w:r>
      <w:proofErr w:type="gramEnd"/>
      <w:r w:rsidRPr="005665FF">
        <w:rPr>
          <w:rFonts w:ascii="Calibri" w:eastAsia="Times New Roman" w:hAnsi="Calibri" w:cs="Calibri"/>
          <w:b/>
          <w:bCs/>
          <w:color w:val="800000"/>
        </w:rPr>
        <w:t xml:space="preserve"> Testing Alternative Approaches in Vietnam.</w:t>
      </w:r>
      <w:bookmarkEnd w:id="134"/>
    </w:p>
    <w:p w14:paraId="785DECE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Maria Gabriela </w:t>
      </w:r>
      <w:proofErr w:type="spellStart"/>
      <w:r w:rsidRPr="005665FF">
        <w:rPr>
          <w:rFonts w:ascii="Arial" w:eastAsia="Times New Roman" w:hAnsi="Arial" w:cs="Arial"/>
          <w:color w:val="000000"/>
          <w:sz w:val="24"/>
          <w:szCs w:val="24"/>
        </w:rPr>
        <w:t>Farfan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Bertran</w:t>
      </w:r>
      <w:proofErr w:type="spellEnd"/>
      <w:r w:rsidRPr="005665FF">
        <w:rPr>
          <w:rFonts w:ascii="Arial" w:eastAsia="Times New Roman" w:hAnsi="Arial" w:cs="Arial"/>
          <w:color w:val="000000"/>
          <w:sz w:val="24"/>
          <w:szCs w:val="24"/>
        </w:rPr>
        <w:t xml:space="preserve">, Kevin Robert </w:t>
      </w:r>
      <w:proofErr w:type="spellStart"/>
      <w:r w:rsidRPr="005665FF">
        <w:rPr>
          <w:rFonts w:ascii="Arial" w:eastAsia="Times New Roman" w:hAnsi="Arial" w:cs="Arial"/>
          <w:color w:val="000000"/>
          <w:sz w:val="24"/>
          <w:szCs w:val="24"/>
        </w:rPr>
        <w:t>Mcgee</w:t>
      </w:r>
      <w:proofErr w:type="spellEnd"/>
      <w:r w:rsidRPr="005665FF">
        <w:rPr>
          <w:rFonts w:ascii="Arial" w:eastAsia="Times New Roman" w:hAnsi="Arial" w:cs="Arial"/>
          <w:color w:val="000000"/>
          <w:sz w:val="24"/>
          <w:szCs w:val="24"/>
        </w:rPr>
        <w:t xml:space="preserve">, Julie Ting </w:t>
      </w:r>
      <w:proofErr w:type="spellStart"/>
      <w:r w:rsidRPr="005665FF">
        <w:rPr>
          <w:rFonts w:ascii="Arial" w:eastAsia="Times New Roman" w:hAnsi="Arial" w:cs="Arial"/>
          <w:color w:val="000000"/>
          <w:sz w:val="24"/>
          <w:szCs w:val="24"/>
        </w:rPr>
        <w:t>Ting</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Perng</w:t>
      </w:r>
      <w:proofErr w:type="spellEnd"/>
      <w:r w:rsidRPr="005665FF">
        <w:rPr>
          <w:rFonts w:ascii="Arial" w:eastAsia="Times New Roman" w:hAnsi="Arial" w:cs="Arial"/>
          <w:color w:val="000000"/>
          <w:sz w:val="24"/>
          <w:szCs w:val="24"/>
        </w:rPr>
        <w:t xml:space="preserve"> and Renos </w:t>
      </w:r>
      <w:proofErr w:type="spellStart"/>
      <w:r w:rsidRPr="005665FF">
        <w:rPr>
          <w:rFonts w:ascii="Arial" w:eastAsia="Times New Roman" w:hAnsi="Arial" w:cs="Arial"/>
          <w:color w:val="000000"/>
          <w:sz w:val="24"/>
          <w:szCs w:val="24"/>
        </w:rPr>
        <w:t>Vakis</w:t>
      </w:r>
      <w:proofErr w:type="spellEnd"/>
      <w:r w:rsidRPr="005665FF">
        <w:rPr>
          <w:rFonts w:ascii="Arial" w:eastAsia="Times New Roman" w:hAnsi="Arial" w:cs="Arial"/>
          <w:color w:val="000000"/>
          <w:sz w:val="24"/>
          <w:szCs w:val="24"/>
        </w:rPr>
        <w:t>. World Bank Policy Research working paper; no. WPS 8692, 2019.</w:t>
      </w:r>
    </w:p>
    <w:p w14:paraId="4657888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74" w:tgtFrame="_blank" w:history="1">
        <w:r w:rsidRPr="005665FF">
          <w:rPr>
            <w:rFonts w:ascii="Arial" w:eastAsia="Times New Roman" w:hAnsi="Arial" w:cs="Arial"/>
            <w:color w:val="1155CC"/>
            <w:sz w:val="24"/>
            <w:szCs w:val="24"/>
            <w:u w:val="single"/>
          </w:rPr>
          <w:t>http://documents.worldbank.org/curated/en/670481546954395456/Poverty-Measurement-in-the-Era-of-Food-Away-from-Home-Testing-Alternative-Approaches-in-Vietnam</w:t>
        </w:r>
      </w:hyperlink>
      <w:r w:rsidRPr="005665FF">
        <w:rPr>
          <w:rFonts w:ascii="Arial" w:eastAsia="Times New Roman" w:hAnsi="Arial" w:cs="Arial"/>
          <w:color w:val="000000"/>
          <w:sz w:val="24"/>
          <w:szCs w:val="24"/>
        </w:rPr>
        <w:t>.</w:t>
      </w:r>
    </w:p>
    <w:p w14:paraId="271D9F0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366B80C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Food consumed outside the home in restaurants or other food establishments is a growing segment of consumption in many developing countries. However, the survey methods that are utilized to collect data on expenditures on food away from home are often simplistic and could potentially result in inaccurate reporting. This study addresses the potential inaccuracy of commonly used methods and tests potentially superior methods to inform best practices when collecting data on consumption of food away from home. A household survey experiment was implemented in Hanoi, Vietnam, to test these different methods. Using a food away from home consumption diary as a benchmark, the study finds that many of the alternative methods considered -- including asking about consumption in one line (the existing practice in Vietnam) or asking each individual about their food away from home -- lead to underreporting (33 and 22 percent underestimates, respectively). Surprisingly, using one respondent and helping them with recall with a simple worksheet as well as bounding (two-visits) results in food away from home estimates that are indistinguishable from those reported in the benchmark diary. This finding implies that there is a more cost-effective way to collect accurate data on food away from home than an intensive daily diary. Furthermore, it highlights the inaccuracy associated with collecting data on consumption of food away from home from a single question in a survey. Although limited analysis can be conducted on the implications for poverty, the study finds that the profiles of the poorest households differ across different methods of collecting information on food consumed away from home.</w:t>
      </w:r>
    </w:p>
    <w:p w14:paraId="5539127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19C6E77"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0986187B" w14:textId="2946A778"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7865D17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521B791"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35" w:name="m_8873885906141426999__Toc2349140"/>
      <w:r w:rsidRPr="005665FF">
        <w:rPr>
          <w:rFonts w:ascii="Arial" w:eastAsia="Times New Roman" w:hAnsi="Arial" w:cs="Arial"/>
          <w:b/>
          <w:bCs/>
          <w:color w:val="FFFFFF"/>
          <w:kern w:val="36"/>
          <w:sz w:val="48"/>
          <w:szCs w:val="48"/>
        </w:rPr>
        <w:t>SOCIAL DEVELOPMENT</w:t>
      </w:r>
      <w:bookmarkEnd w:id="135"/>
    </w:p>
    <w:p w14:paraId="298C20E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FD6EEB1"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36" w:name="m_8873885906141426999__Toc2349141"/>
      <w:r w:rsidRPr="005665FF">
        <w:rPr>
          <w:rFonts w:ascii="Calibri" w:eastAsia="Times New Roman" w:hAnsi="Calibri" w:cs="Calibri"/>
          <w:b/>
          <w:bCs/>
          <w:color w:val="800000"/>
        </w:rPr>
        <w:t>Online peer influences are associated with receptiveness of youths: The case of Shisha in Vietnam.</w:t>
      </w:r>
      <w:bookmarkEnd w:id="136"/>
    </w:p>
    <w:p w14:paraId="7390060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Bach Xuan Tran, Long Hoang Nguyen, </w:t>
      </w:r>
      <w:proofErr w:type="spellStart"/>
      <w:r w:rsidRPr="005665FF">
        <w:rPr>
          <w:rFonts w:ascii="Arial" w:eastAsia="Times New Roman" w:hAnsi="Arial" w:cs="Arial"/>
          <w:color w:val="000000"/>
          <w:sz w:val="24"/>
          <w:szCs w:val="24"/>
        </w:rPr>
        <w:t>Giang</w:t>
      </w:r>
      <w:proofErr w:type="spellEnd"/>
      <w:r w:rsidRPr="005665FF">
        <w:rPr>
          <w:rFonts w:ascii="Arial" w:eastAsia="Times New Roman" w:hAnsi="Arial" w:cs="Arial"/>
          <w:color w:val="000000"/>
          <w:sz w:val="24"/>
          <w:szCs w:val="24"/>
        </w:rPr>
        <w:t xml:space="preserve"> Thu Vu, Huong </w:t>
      </w:r>
      <w:proofErr w:type="spellStart"/>
      <w:r w:rsidRPr="005665FF">
        <w:rPr>
          <w:rFonts w:ascii="Arial" w:eastAsia="Times New Roman" w:hAnsi="Arial" w:cs="Arial"/>
          <w:color w:val="000000"/>
          <w:sz w:val="24"/>
          <w:szCs w:val="24"/>
        </w:rPr>
        <w:t>Thi</w:t>
      </w:r>
      <w:proofErr w:type="spellEnd"/>
      <w:r w:rsidRPr="005665FF">
        <w:rPr>
          <w:rFonts w:ascii="Arial" w:eastAsia="Times New Roman" w:hAnsi="Arial" w:cs="Arial"/>
          <w:color w:val="000000"/>
          <w:sz w:val="24"/>
          <w:szCs w:val="24"/>
        </w:rPr>
        <w:t xml:space="preserve"> Le, </w:t>
      </w:r>
      <w:proofErr w:type="spellStart"/>
      <w:r w:rsidRPr="005665FF">
        <w:rPr>
          <w:rFonts w:ascii="Arial" w:eastAsia="Times New Roman" w:hAnsi="Arial" w:cs="Arial"/>
          <w:color w:val="000000"/>
          <w:sz w:val="24"/>
          <w:szCs w:val="24"/>
        </w:rPr>
        <w:t>Hinh</w:t>
      </w:r>
      <w:proofErr w:type="spellEnd"/>
      <w:r w:rsidRPr="005665FF">
        <w:rPr>
          <w:rFonts w:ascii="Arial" w:eastAsia="Times New Roman" w:hAnsi="Arial" w:cs="Arial"/>
          <w:color w:val="000000"/>
          <w:sz w:val="24"/>
          <w:szCs w:val="24"/>
        </w:rPr>
        <w:t xml:space="preserve"> Duc Nguyen and others. Children and Youth Services Review, 2019, volume 99, pp. 18-22.</w:t>
      </w:r>
    </w:p>
    <w:p w14:paraId="7743C24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D80531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An explosion of Internet and social network sites (SNSs) among Vietnamese youths and adolescents increases the likelihood of being exposed or influenced by risky perceptions and beliefs from online peers, leading to the development of risk behaviors, especially new habits such as shisha smoking. However, evidence about the online peer influence on the occurrence of shisha smoking is limited. The objective of this </w:t>
      </w:r>
      <w:r w:rsidRPr="005665FF">
        <w:rPr>
          <w:rFonts w:ascii="Arial" w:eastAsia="Times New Roman" w:hAnsi="Arial" w:cs="Arial"/>
          <w:color w:val="000000"/>
          <w:sz w:val="24"/>
          <w:szCs w:val="24"/>
        </w:rPr>
        <w:lastRenderedPageBreak/>
        <w:t>study is to determine the associations between online peer influence and the shisha use among young Internet active users in Vietnam. An online cross-sectional study was conducted with 1041 young people, who were recruited by respondent-driven sampling method. The study found that 4.1% have had smoked shisha in the last 12 months. Among participants, 52.9% and 49.5% reported frequently visited places and engaged in activities recommended by online friends, respectively. People who were male (OR = 4.04; 95%CI = 1.94–8.41), of older age (OR = 1.27; 95%CI = 1.06–1.54) and having higher levels of “visiting places recommended by online friends” (OR = 3.05; 95%CI = 1.84–5.06) were more likely to smoke shisha. This study highlighted the influence of online peers on the occurrence of shisha smoking among youths and adolescents. Future interventions should educate young people to understand the harmful effects of shisha smoking as well as risky online presentations and online interactions.</w:t>
      </w:r>
    </w:p>
    <w:p w14:paraId="3F006F9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EC61D1F"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37" w:name="m_8873885906141426999__Toc2349142"/>
      <w:r w:rsidRPr="005665FF">
        <w:rPr>
          <w:rFonts w:ascii="Calibri" w:eastAsia="Times New Roman" w:hAnsi="Calibri" w:cs="Calibri"/>
          <w:b/>
          <w:bCs/>
          <w:color w:val="800000"/>
        </w:rPr>
        <w:t>Elderly's Thought About Nursing Homes: A Case Study of Vietnamese Elderly.</w:t>
      </w:r>
      <w:bookmarkEnd w:id="137"/>
    </w:p>
    <w:p w14:paraId="6157EE4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lang w:val="fr-FR"/>
        </w:rPr>
        <w:t xml:space="preserve">Vu Dung, Hoang Ba </w:t>
      </w:r>
      <w:proofErr w:type="spellStart"/>
      <w:r w:rsidRPr="005665FF">
        <w:rPr>
          <w:rFonts w:ascii="Arial" w:eastAsia="Times New Roman" w:hAnsi="Arial" w:cs="Arial"/>
          <w:color w:val="000000"/>
          <w:sz w:val="24"/>
          <w:szCs w:val="24"/>
          <w:lang w:val="fr-FR"/>
        </w:rPr>
        <w:t>Thinh</w:t>
      </w:r>
      <w:proofErr w:type="spellEnd"/>
      <w:r w:rsidRPr="005665FF">
        <w:rPr>
          <w:rFonts w:ascii="Arial" w:eastAsia="Times New Roman" w:hAnsi="Arial" w:cs="Arial"/>
          <w:color w:val="000000"/>
          <w:sz w:val="24"/>
          <w:szCs w:val="24"/>
          <w:lang w:val="fr-FR"/>
        </w:rPr>
        <w:t xml:space="preserve">, Nguyen Thi Mai Lan, Vu Thu </w:t>
      </w:r>
      <w:proofErr w:type="spellStart"/>
      <w:r w:rsidRPr="005665FF">
        <w:rPr>
          <w:rFonts w:ascii="Arial" w:eastAsia="Times New Roman" w:hAnsi="Arial" w:cs="Arial"/>
          <w:color w:val="000000"/>
          <w:sz w:val="24"/>
          <w:szCs w:val="24"/>
          <w:lang w:val="fr-FR"/>
        </w:rPr>
        <w:t>Trang</w:t>
      </w:r>
      <w:proofErr w:type="spellEnd"/>
      <w:r w:rsidRPr="005665FF">
        <w:rPr>
          <w:rFonts w:ascii="Arial" w:eastAsia="Times New Roman" w:hAnsi="Arial" w:cs="Arial"/>
          <w:color w:val="000000"/>
          <w:sz w:val="24"/>
          <w:szCs w:val="24"/>
          <w:lang w:val="fr-FR"/>
        </w:rPr>
        <w:t xml:space="preserve"> and Le Minh </w:t>
      </w:r>
      <w:proofErr w:type="spellStart"/>
      <w:r w:rsidRPr="005665FF">
        <w:rPr>
          <w:rFonts w:ascii="Arial" w:eastAsia="Times New Roman" w:hAnsi="Arial" w:cs="Arial"/>
          <w:color w:val="000000"/>
          <w:sz w:val="24"/>
          <w:szCs w:val="24"/>
          <w:lang w:val="fr-FR"/>
        </w:rPr>
        <w:t>Thien</w:t>
      </w:r>
      <w:proofErr w:type="spellEnd"/>
      <w:r w:rsidRPr="005665FF">
        <w:rPr>
          <w:rFonts w:ascii="Arial" w:eastAsia="Times New Roman" w:hAnsi="Arial" w:cs="Arial"/>
          <w:color w:val="000000"/>
          <w:sz w:val="24"/>
          <w:szCs w:val="24"/>
          <w:lang w:val="fr-FR"/>
        </w:rPr>
        <w:t xml:space="preserve">. </w:t>
      </w:r>
      <w:r w:rsidRPr="005665FF">
        <w:rPr>
          <w:rFonts w:ascii="Arial" w:eastAsia="Times New Roman" w:hAnsi="Arial" w:cs="Arial"/>
          <w:color w:val="000000"/>
          <w:sz w:val="24"/>
          <w:szCs w:val="24"/>
        </w:rPr>
        <w:t>Advanced Science Letters, 2019, volume 25, number 1, pp. 189-193.</w:t>
      </w:r>
    </w:p>
    <w:p w14:paraId="055BEBB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26F670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This study was conducted on the elderly living in nursing homes. Subjects included 900 old people living in nine nursing homes in three regions of Vietnam, as well as managers and staff at the homes. The results showed that more than half of elderly respondents wanted to live in nursing homes. They chose to spend their life in these facilities because they were homeless, childless or had lost their family (through divorce, death or missing in wars). The rest preferred to live with their family because to them, family care was irreplaceable as they get old. The findings indicated a good tradition of Vietnamese culture that has been quickly disappearing, i.e., respect to the elderly and filial piety manifested in caring for the elderly.</w:t>
      </w:r>
    </w:p>
    <w:p w14:paraId="76CF9E2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2158AC6"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15F323A0" w14:textId="6F79C942"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2BAA628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291BD3D"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38" w:name="m_8873885906141426999__Toc2349143"/>
      <w:r w:rsidRPr="005665FF">
        <w:rPr>
          <w:rFonts w:ascii="Calibri" w:eastAsia="Times New Roman" w:hAnsi="Calibri" w:cs="Calibri"/>
          <w:b/>
          <w:bCs/>
          <w:color w:val="800000"/>
        </w:rPr>
        <w:t>Agent-based Modeling of Inter-provincial Migration in the Mekong Delta, Vietnam: A Data Analytics Approach.</w:t>
      </w:r>
      <w:bookmarkEnd w:id="138"/>
    </w:p>
    <w:p w14:paraId="6C15A6D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H. K. Nguyen, R. </w:t>
      </w:r>
      <w:proofErr w:type="spellStart"/>
      <w:r w:rsidRPr="005665FF">
        <w:rPr>
          <w:rFonts w:ascii="Arial" w:eastAsia="Times New Roman" w:hAnsi="Arial" w:cs="Arial"/>
          <w:color w:val="000000"/>
          <w:sz w:val="24"/>
          <w:szCs w:val="24"/>
        </w:rPr>
        <w:t>Chiong</w:t>
      </w:r>
      <w:proofErr w:type="spellEnd"/>
      <w:r w:rsidRPr="005665FF">
        <w:rPr>
          <w:rFonts w:ascii="Arial" w:eastAsia="Times New Roman" w:hAnsi="Arial" w:cs="Arial"/>
          <w:color w:val="000000"/>
          <w:sz w:val="24"/>
          <w:szCs w:val="24"/>
        </w:rPr>
        <w:t>, M. Chica and R. H. Middleton. 2018 IEEE Conference on Big Data and Analytics (ICBDA), 2018.</w:t>
      </w:r>
    </w:p>
    <w:p w14:paraId="15AEBCE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B92D81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xml:space="preserve">Abstract: The Mekong Delta (MKD) region in Vietnam has experienced large-scale inter-provincial migration flows. This study employs agent-based modeling to explore migration dynamics across the provinces and cities in the MKD. An agent-based model, which incorporates the Theory of Planned </w:t>
      </w:r>
      <w:proofErr w:type="spellStart"/>
      <w:r w:rsidRPr="005665FF">
        <w:rPr>
          <w:rFonts w:ascii="Arial" w:eastAsia="Times New Roman" w:hAnsi="Arial" w:cs="Arial"/>
          <w:color w:val="000000"/>
          <w:sz w:val="24"/>
          <w:szCs w:val="24"/>
        </w:rPr>
        <w:t>Behaviour</w:t>
      </w:r>
      <w:proofErr w:type="spellEnd"/>
      <w:r w:rsidRPr="005665FF">
        <w:rPr>
          <w:rFonts w:ascii="Arial" w:eastAsia="Times New Roman" w:hAnsi="Arial" w:cs="Arial"/>
          <w:color w:val="000000"/>
          <w:sz w:val="24"/>
          <w:szCs w:val="24"/>
        </w:rPr>
        <w:t xml:space="preserve"> into the decision-making process to effectively break down migration intention into related components, is developed to simulate how an individual makes migration decisions considering different economic, social, and environmental circumstances. Outputs of the agent-based model are calibrated via real province-level data of in-, out-, and net-migration flows in the MKD region with the use of a data analytics approach, in an attempt to validate the results </w:t>
      </w:r>
      <w:proofErr w:type="spellStart"/>
      <w:proofErr w:type="gramStart"/>
      <w:r w:rsidRPr="005665FF">
        <w:rPr>
          <w:rFonts w:ascii="Arial" w:eastAsia="Times New Roman" w:hAnsi="Arial" w:cs="Arial"/>
          <w:color w:val="000000"/>
          <w:sz w:val="24"/>
          <w:szCs w:val="24"/>
        </w:rPr>
        <w:t>produced.File</w:t>
      </w:r>
      <w:proofErr w:type="spellEnd"/>
      <w:proofErr w:type="gramEnd"/>
      <w:r w:rsidRPr="005665FF">
        <w:rPr>
          <w:rFonts w:ascii="Arial" w:eastAsia="Times New Roman" w:hAnsi="Arial" w:cs="Arial"/>
          <w:color w:val="000000"/>
          <w:sz w:val="24"/>
          <w:szCs w:val="24"/>
        </w:rPr>
        <w:t xml:space="preserve"> Attachments]|.</w:t>
      </w:r>
    </w:p>
    <w:p w14:paraId="7B78DE3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6F0F71C"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39" w:name="m_8873885906141426999__Toc2349144"/>
      <w:r w:rsidRPr="005665FF">
        <w:rPr>
          <w:rFonts w:ascii="Calibri" w:eastAsia="Times New Roman" w:hAnsi="Calibri" w:cs="Calibri"/>
          <w:b/>
          <w:bCs/>
          <w:color w:val="800000"/>
        </w:rPr>
        <w:t>Who is an internal migrant?</w:t>
      </w:r>
      <w:bookmarkEnd w:id="139"/>
    </w:p>
    <w:p w14:paraId="4544CA0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Rasadhika</w:t>
      </w:r>
      <w:proofErr w:type="spellEnd"/>
      <w:r w:rsidRPr="005665FF">
        <w:rPr>
          <w:rFonts w:ascii="Arial" w:eastAsia="Times New Roman" w:hAnsi="Arial" w:cs="Arial"/>
          <w:color w:val="000000"/>
          <w:sz w:val="24"/>
          <w:szCs w:val="24"/>
        </w:rPr>
        <w:t xml:space="preserve"> Sharma and Ulrike Grote. Thailand Vietnam Socio Economic Panel (TVSEP) Working Papers, 2019.</w:t>
      </w:r>
    </w:p>
    <w:p w14:paraId="7B068A9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75" w:tgtFrame="_blank" w:history="1">
        <w:r w:rsidRPr="005665FF">
          <w:rPr>
            <w:rFonts w:ascii="Arial" w:eastAsia="Times New Roman" w:hAnsi="Arial" w:cs="Arial"/>
            <w:color w:val="1155CC"/>
            <w:sz w:val="24"/>
            <w:szCs w:val="24"/>
            <w:u w:val="single"/>
          </w:rPr>
          <w:t>http://wp-tvsep.ifgb.uni-hannover.de/RePEc/tvs/pdfbib/wp-013.pdf</w:t>
        </w:r>
      </w:hyperlink>
      <w:r w:rsidRPr="005665FF">
        <w:rPr>
          <w:rFonts w:ascii="Arial" w:eastAsia="Times New Roman" w:hAnsi="Arial" w:cs="Arial"/>
          <w:color w:val="000000"/>
          <w:sz w:val="24"/>
          <w:szCs w:val="24"/>
        </w:rPr>
        <w:t>.</w:t>
      </w:r>
    </w:p>
    <w:p w14:paraId="44FF90D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B64FED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There is no internationally accepted definition of an internal migrant. Different surveys and academic papers use varied definitions that are open to subjectivity. Our paper stresses this issue and tests the sensitivity of results obtained by econometric analysis to the use of different defining criterion. Using four definitions of an internal migrant based on aspects of varied time intervals, purpose of migration and geographical shifts, we examine the determinants of the migration decision and the impact of migration on the </w:t>
      </w:r>
      <w:proofErr w:type="spellStart"/>
      <w:r w:rsidRPr="005665FF">
        <w:rPr>
          <w:rFonts w:ascii="Arial" w:eastAsia="Times New Roman" w:hAnsi="Arial" w:cs="Arial"/>
          <w:color w:val="000000"/>
          <w:sz w:val="24"/>
          <w:szCs w:val="24"/>
        </w:rPr>
        <w:t>householdâ</w:t>
      </w:r>
      <w:proofErr w:type="spellEnd"/>
      <w:r w:rsidRPr="005665FF">
        <w:rPr>
          <w:rFonts w:ascii="Arial" w:eastAsia="Times New Roman" w:hAnsi="Arial" w:cs="Arial"/>
          <w:color w:val="000000"/>
          <w:sz w:val="24"/>
          <w:szCs w:val="24"/>
        </w:rPr>
        <w:t xml:space="preserve">€™s income. We employ </w:t>
      </w:r>
      <w:proofErr w:type="spellStart"/>
      <w:r w:rsidRPr="005665FF">
        <w:rPr>
          <w:rFonts w:ascii="Arial" w:eastAsia="Times New Roman" w:hAnsi="Arial" w:cs="Arial"/>
          <w:color w:val="000000"/>
          <w:sz w:val="24"/>
          <w:szCs w:val="24"/>
        </w:rPr>
        <w:t>Probit</w:t>
      </w:r>
      <w:proofErr w:type="spellEnd"/>
      <w:r w:rsidRPr="005665FF">
        <w:rPr>
          <w:rFonts w:ascii="Arial" w:eastAsia="Times New Roman" w:hAnsi="Arial" w:cs="Arial"/>
          <w:color w:val="000000"/>
          <w:sz w:val="24"/>
          <w:szCs w:val="24"/>
        </w:rPr>
        <w:t xml:space="preserve"> modelling and difference-in-difference Probability Score Matching to estimate the two questions, respectively. We find that a change in definition alters the target sample and therefore induces identification errors. In case of determinants, the magnitude and significance of variables capturing human and social capital, socio-demography and wealth of the household change across the four definitions. Additionally, having a migrant, increases the </w:t>
      </w:r>
      <w:proofErr w:type="spellStart"/>
      <w:r w:rsidRPr="005665FF">
        <w:rPr>
          <w:rFonts w:ascii="Arial" w:eastAsia="Times New Roman" w:hAnsi="Arial" w:cs="Arial"/>
          <w:color w:val="000000"/>
          <w:sz w:val="24"/>
          <w:szCs w:val="24"/>
        </w:rPr>
        <w:t>householdâ</w:t>
      </w:r>
      <w:proofErr w:type="spellEnd"/>
      <w:r w:rsidRPr="005665FF">
        <w:rPr>
          <w:rFonts w:ascii="Arial" w:eastAsia="Times New Roman" w:hAnsi="Arial" w:cs="Arial"/>
          <w:color w:val="000000"/>
          <w:sz w:val="24"/>
          <w:szCs w:val="24"/>
        </w:rPr>
        <w:t xml:space="preserve">€™s income under two definitions, while negatively impacting the </w:t>
      </w:r>
      <w:proofErr w:type="spellStart"/>
      <w:r w:rsidRPr="005665FF">
        <w:rPr>
          <w:rFonts w:ascii="Arial" w:eastAsia="Times New Roman" w:hAnsi="Arial" w:cs="Arial"/>
          <w:color w:val="000000"/>
          <w:sz w:val="24"/>
          <w:szCs w:val="24"/>
        </w:rPr>
        <w:t>householdâ</w:t>
      </w:r>
      <w:proofErr w:type="spellEnd"/>
      <w:r w:rsidRPr="005665FF">
        <w:rPr>
          <w:rFonts w:ascii="Arial" w:eastAsia="Times New Roman" w:hAnsi="Arial" w:cs="Arial"/>
          <w:color w:val="000000"/>
          <w:sz w:val="24"/>
          <w:szCs w:val="24"/>
        </w:rPr>
        <w:t>€™s income under the other two definitions. Therefore, it is pertinent to standardize the definition of an internal migrant before assessing the impact of migration. Our paper aims to bring this issue to the attention of international organizations and future researchers who work in the area of migration. It advocates for a standardized definition by proposing basic guidelines.</w:t>
      </w:r>
    </w:p>
    <w:p w14:paraId="0C9183C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965015C"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457944EE" w14:textId="62F215C3"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58563DE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 </w:t>
      </w:r>
    </w:p>
    <w:p w14:paraId="7F9249F1" w14:textId="77777777" w:rsidR="005665FF" w:rsidRPr="005665FF" w:rsidRDefault="005665FF" w:rsidP="005665F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40" w:name="m_8873885906141426999__Toc2349145"/>
      <w:r w:rsidRPr="005665FF">
        <w:rPr>
          <w:rFonts w:ascii="Arial" w:eastAsia="Times New Roman" w:hAnsi="Arial" w:cs="Arial"/>
          <w:b/>
          <w:bCs/>
          <w:color w:val="FFFFFF"/>
          <w:kern w:val="36"/>
          <w:sz w:val="48"/>
          <w:szCs w:val="48"/>
        </w:rPr>
        <w:t>WATER</w:t>
      </w:r>
      <w:bookmarkEnd w:id="140"/>
    </w:p>
    <w:p w14:paraId="2A2BA02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6AAFC4F"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41" w:name="m_8873885906141426999__Toc2349146"/>
      <w:r w:rsidRPr="005665FF">
        <w:rPr>
          <w:rFonts w:ascii="Calibri" w:eastAsia="Times New Roman" w:hAnsi="Calibri" w:cs="Calibri"/>
          <w:b/>
          <w:bCs/>
          <w:color w:val="800000"/>
        </w:rPr>
        <w:t>Exploring gender dimensions of water insecurity and governance in the Lower Mekong Region.</w:t>
      </w:r>
      <w:bookmarkEnd w:id="141"/>
    </w:p>
    <w:p w14:paraId="489E593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Ha Nguyen, Natalia </w:t>
      </w:r>
      <w:proofErr w:type="spellStart"/>
      <w:r w:rsidRPr="005665FF">
        <w:rPr>
          <w:rFonts w:ascii="Arial" w:eastAsia="Times New Roman" w:hAnsi="Arial" w:cs="Arial"/>
          <w:color w:val="000000"/>
          <w:sz w:val="24"/>
          <w:szCs w:val="24"/>
        </w:rPr>
        <w:t>Biskupska</w:t>
      </w:r>
      <w:proofErr w:type="spellEnd"/>
      <w:r w:rsidRPr="005665FF">
        <w:rPr>
          <w:rFonts w:ascii="Arial" w:eastAsia="Times New Roman" w:hAnsi="Arial" w:cs="Arial"/>
          <w:color w:val="000000"/>
          <w:sz w:val="24"/>
          <w:szCs w:val="24"/>
        </w:rPr>
        <w:t xml:space="preserve"> and Sofie Mortensen. SEI discussion brief, 2019.</w:t>
      </w:r>
    </w:p>
    <w:p w14:paraId="7DD23A4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76" w:tgtFrame="_blank" w:history="1">
        <w:r w:rsidRPr="005665FF">
          <w:rPr>
            <w:rFonts w:ascii="Arial" w:eastAsia="Times New Roman" w:hAnsi="Arial" w:cs="Arial"/>
            <w:color w:val="1155CC"/>
            <w:sz w:val="24"/>
            <w:szCs w:val="24"/>
            <w:u w:val="single"/>
          </w:rPr>
          <w:t>https://www.sei.org/wp-content/uploads/2019/01/gender-and-water-insecurity-sei-discussion-briefing.pdf</w:t>
        </w:r>
      </w:hyperlink>
      <w:r w:rsidRPr="005665FF">
        <w:rPr>
          <w:rFonts w:ascii="Arial" w:eastAsia="Times New Roman" w:hAnsi="Arial" w:cs="Arial"/>
          <w:color w:val="000000"/>
          <w:sz w:val="24"/>
          <w:szCs w:val="24"/>
        </w:rPr>
        <w:t>.</w:t>
      </w:r>
    </w:p>
    <w:p w14:paraId="0512635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D7A37F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Sharing, developing and managing water resources for agriculture, energy and fisheries are key challenges for the Lower Mekong Region (LMR) countries. People </w:t>
      </w:r>
      <w:bookmarkStart w:id="142" w:name="_GoBack"/>
      <w:bookmarkEnd w:id="142"/>
      <w:r w:rsidRPr="005665FF">
        <w:rPr>
          <w:rFonts w:ascii="Arial" w:eastAsia="Times New Roman" w:hAnsi="Arial" w:cs="Arial"/>
          <w:color w:val="000000"/>
          <w:sz w:val="24"/>
          <w:szCs w:val="24"/>
        </w:rPr>
        <w:t xml:space="preserve">are heavily </w:t>
      </w:r>
      <w:proofErr w:type="gramStart"/>
      <w:r w:rsidRPr="005665FF">
        <w:rPr>
          <w:rFonts w:ascii="Arial" w:eastAsia="Times New Roman" w:hAnsi="Arial" w:cs="Arial"/>
          <w:color w:val="000000"/>
          <w:sz w:val="24"/>
          <w:szCs w:val="24"/>
        </w:rPr>
        <w:t>reliant  on</w:t>
      </w:r>
      <w:proofErr w:type="gramEnd"/>
      <w:r w:rsidRPr="005665FF">
        <w:rPr>
          <w:rFonts w:ascii="Arial" w:eastAsia="Times New Roman" w:hAnsi="Arial" w:cs="Arial"/>
          <w:color w:val="000000"/>
          <w:sz w:val="24"/>
          <w:szCs w:val="24"/>
        </w:rPr>
        <w:t xml:space="preserve"> rivers for their livelihoods and survival, yet water insecurity is increasing as a result of changing water regimes. Large water infrastructure developments such as hydropower highlight these challenges, showing how many can be disadvantaged through the loss of fishery incomes, the lack of clean water and likelihood of displacement. </w:t>
      </w:r>
      <w:proofErr w:type="gramStart"/>
      <w:r w:rsidRPr="005665FF">
        <w:rPr>
          <w:rFonts w:ascii="Arial" w:eastAsia="Times New Roman" w:hAnsi="Arial" w:cs="Arial"/>
          <w:color w:val="000000"/>
          <w:sz w:val="24"/>
          <w:szCs w:val="24"/>
        </w:rPr>
        <w:t>---  Experiences</w:t>
      </w:r>
      <w:proofErr w:type="gramEnd"/>
      <w:r w:rsidRPr="005665FF">
        <w:rPr>
          <w:rFonts w:ascii="Arial" w:eastAsia="Times New Roman" w:hAnsi="Arial" w:cs="Arial"/>
          <w:color w:val="000000"/>
          <w:sz w:val="24"/>
          <w:szCs w:val="24"/>
        </w:rPr>
        <w:t xml:space="preserve"> of water insecurity vary depending on identity issues including gender, ethnicity, race, class and age. While women play significant roles in managing water resources, their contributions are often overlooked. Outcomes of water insecurity are rarely distributed equally. Women shoulder responsibilities to secure family wellbeing more often, while coping with everyday needs and adapting to future stresses in contexts of water insecurity. Women’s voices are the least heard in decision-making on water issues, and they are largely excluded from new opportunities. Depending on contingent identities, some women may be more disadvantaged than others. </w:t>
      </w:r>
      <w:proofErr w:type="gramStart"/>
      <w:r w:rsidRPr="005665FF">
        <w:rPr>
          <w:rFonts w:ascii="Arial" w:eastAsia="Times New Roman" w:hAnsi="Arial" w:cs="Arial"/>
          <w:color w:val="000000"/>
          <w:sz w:val="24"/>
          <w:szCs w:val="24"/>
        </w:rPr>
        <w:t>---  To</w:t>
      </w:r>
      <w:proofErr w:type="gramEnd"/>
      <w:r w:rsidRPr="005665FF">
        <w:rPr>
          <w:rFonts w:ascii="Arial" w:eastAsia="Times New Roman" w:hAnsi="Arial" w:cs="Arial"/>
          <w:color w:val="000000"/>
          <w:sz w:val="24"/>
          <w:szCs w:val="24"/>
        </w:rPr>
        <w:t xml:space="preserve"> put gender on the water governance agenda, this brief first identifies how experiences of water insecurity in the LMR are gendered; then scopes out the current trends and policy landscape of water governance in the LMR from a gender equality perspective; and lastly recommends opportunities for future engagement and action in water governance. The brief is based on thorough literature reviews conducted by the Stockholm Environment Institute (IUCN and Oxfam 2018; Perry 2018).</w:t>
      </w:r>
    </w:p>
    <w:p w14:paraId="44C177B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D1971E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43" w:name="m_8873885906141426999__Toc2349147"/>
      <w:r w:rsidRPr="005665FF">
        <w:rPr>
          <w:rFonts w:ascii="Calibri" w:eastAsia="Times New Roman" w:hAnsi="Calibri" w:cs="Calibri"/>
          <w:b/>
          <w:bCs/>
          <w:color w:val="800000"/>
        </w:rPr>
        <w:t>Chapter 10 - Addressing the Arsenic Issue in the Lower Mekong Region: The Challenges and Systematic Approaches.</w:t>
      </w:r>
      <w:bookmarkEnd w:id="143"/>
    </w:p>
    <w:p w14:paraId="64348CE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000000"/>
          <w:sz w:val="24"/>
          <w:szCs w:val="24"/>
        </w:rPr>
        <w:t>Hristovski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Kiril</w:t>
      </w:r>
      <w:proofErr w:type="spellEnd"/>
      <w:r w:rsidRPr="005665FF">
        <w:rPr>
          <w:rFonts w:ascii="Arial" w:eastAsia="Times New Roman" w:hAnsi="Arial" w:cs="Arial"/>
          <w:color w:val="000000"/>
          <w:sz w:val="24"/>
          <w:szCs w:val="24"/>
        </w:rPr>
        <w:t xml:space="preserve">, Leslie Greg, Henderson Mark, </w:t>
      </w:r>
      <w:proofErr w:type="spellStart"/>
      <w:r w:rsidRPr="005665FF">
        <w:rPr>
          <w:rFonts w:ascii="Arial" w:eastAsia="Times New Roman" w:hAnsi="Arial" w:cs="Arial"/>
          <w:color w:val="000000"/>
          <w:sz w:val="24"/>
          <w:szCs w:val="24"/>
        </w:rPr>
        <w:t>Mirumachi</w:t>
      </w:r>
      <w:proofErr w:type="spellEnd"/>
      <w:r w:rsidRPr="005665FF">
        <w:rPr>
          <w:rFonts w:ascii="Arial" w:eastAsia="Times New Roman" w:hAnsi="Arial" w:cs="Arial"/>
          <w:color w:val="000000"/>
          <w:sz w:val="24"/>
          <w:szCs w:val="24"/>
        </w:rPr>
        <w:t xml:space="preserve"> Naho, </w:t>
      </w:r>
      <w:proofErr w:type="spellStart"/>
      <w:r w:rsidRPr="005665FF">
        <w:rPr>
          <w:rFonts w:ascii="Arial" w:eastAsia="Times New Roman" w:hAnsi="Arial" w:cs="Arial"/>
          <w:color w:val="000000"/>
          <w:sz w:val="24"/>
          <w:szCs w:val="24"/>
        </w:rPr>
        <w:t>Markovski</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Jasmina</w:t>
      </w:r>
      <w:proofErr w:type="spellEnd"/>
      <w:r w:rsidRPr="005665FF">
        <w:rPr>
          <w:rFonts w:ascii="Arial" w:eastAsia="Times New Roman" w:hAnsi="Arial" w:cs="Arial"/>
          <w:color w:val="000000"/>
          <w:sz w:val="24"/>
          <w:szCs w:val="24"/>
        </w:rPr>
        <w:t xml:space="preserve"> and others. in: Advances in Water Purification Techniques, Elsevier, 2019, pp. 259-270.</w:t>
      </w:r>
    </w:p>
    <w:p w14:paraId="4F0D704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19913C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lastRenderedPageBreak/>
        <w:t>Abstract: Construction of dams in the upper catchments of the Mekong river for hydropower generation and water storage threatens to alter the relative allocation of surface water resources raising concerns about increased reliance on groundwater withdrawals for irrigation and drinking water purposes. These alterations to water regime of the Mekong create groundwater management implications related to arsenic and other water quality challenges, which are catalyzed by the proliferation of tube wells as an alternative solution for access to potable water. In an attempt to address this newly developed paradigm and develop a systematic approach for sustainable potable water solutions in the lower Mekong region, the goal of this introspect is to identify and elucidate the factors that govern the existing challenges and issues related to the arsenic problem in this densely populated region. Specifically, this introspect examines four key areas: (1) water governance and hydrogeology; (2) arsenic mobilization, metal toxicity, and nutrition; (3) public health and epidemiology; and (4) humanitarian engineering and water treatment, as cornerstones of a sustainable platform for mitigating the arsenic problem in the lower Mekong region. This sustainable arsenic management platform could only be implemented through synchronized engagement of multidisciplinary teams. Establishing an effective educational and training platform represents a prerequisite for developing and implementing a long-term system-based platform for sustainably managing the arsenic problem in the lower Mekong area. The universities in the developed countries are uniquely positioned on many levels to lead the creation of this platform because they have the institutional and intellectual capacity to establish interdisciplinary research and educational collaborations with the universities, communities, organizations, and institutions in the lower Mekong region. Only through joint efforts the arsenic issue in the lower Mekong region could be successfully addressed.</w:t>
      </w:r>
    </w:p>
    <w:p w14:paraId="7898BE2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632ED4D"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16C346CB" w14:textId="0AC6692F"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5C7F99C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263C7FA7"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44" w:name="m_8873885906141426999__Toc2349148"/>
      <w:r w:rsidRPr="005665FF">
        <w:rPr>
          <w:rFonts w:ascii="Calibri" w:eastAsia="Times New Roman" w:hAnsi="Calibri" w:cs="Calibri"/>
          <w:b/>
          <w:bCs/>
          <w:color w:val="800000"/>
        </w:rPr>
        <w:t>Damming the Mekong: Impacts in Vietnam and Solutions.</w:t>
      </w:r>
      <w:bookmarkEnd w:id="144"/>
    </w:p>
    <w:p w14:paraId="79FA014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Nguyen </w:t>
      </w:r>
      <w:proofErr w:type="spellStart"/>
      <w:r w:rsidRPr="005665FF">
        <w:rPr>
          <w:rFonts w:ascii="Arial" w:eastAsia="Times New Roman" w:hAnsi="Arial" w:cs="Arial"/>
          <w:color w:val="000000"/>
          <w:sz w:val="24"/>
          <w:szCs w:val="24"/>
        </w:rPr>
        <w:t>Huu</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Nhan</w:t>
      </w:r>
      <w:proofErr w:type="spellEnd"/>
      <w:r w:rsidRPr="005665FF">
        <w:rPr>
          <w:rFonts w:ascii="Arial" w:eastAsia="Times New Roman" w:hAnsi="Arial" w:cs="Arial"/>
          <w:color w:val="000000"/>
          <w:sz w:val="24"/>
          <w:szCs w:val="24"/>
        </w:rPr>
        <w:t xml:space="preserve"> and Nguyen Ba Cao. in: Coasts and Estuaries, Elsevier, 2019, pp. 321-340.</w:t>
      </w:r>
    </w:p>
    <w:p w14:paraId="070F27C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B75DF3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The Mekong River delta, the third largest delta in the world, is presently shifting from growing to shrinking, with its ecosystem and environment seriously degraded. These changes are due to several factors including ill-planned water management schemes, hydropower dams in the river basin, sediment starvation, increased nutrient inflows, in combination with other human activities that include infrastructural extension, riverbed mining, delta subsidence, climate change and sea </w:t>
      </w:r>
      <w:r w:rsidRPr="005665FF">
        <w:rPr>
          <w:rFonts w:ascii="Arial" w:eastAsia="Times New Roman" w:hAnsi="Arial" w:cs="Arial"/>
          <w:color w:val="000000"/>
          <w:sz w:val="24"/>
          <w:szCs w:val="24"/>
        </w:rPr>
        <w:lastRenderedPageBreak/>
        <w:t xml:space="preserve">level rise, degradation of the coastal mangrove belt, and gaps in governance in the whole Mekong basin. The delta is now shrinking and the rate of shrinking will increase markedly this century. The chapter compiles new data together with recent key studies implying that much of the degradation in the Vietnamese Mekong delta is due to hydropower dams in the entire Mekong river basin but particularly the big dams in China in the Upper Mekong basin (known as the </w:t>
      </w:r>
      <w:proofErr w:type="spellStart"/>
      <w:r w:rsidRPr="005665FF">
        <w:rPr>
          <w:rFonts w:ascii="Arial" w:eastAsia="Times New Roman" w:hAnsi="Arial" w:cs="Arial"/>
          <w:color w:val="000000"/>
          <w:sz w:val="24"/>
          <w:szCs w:val="24"/>
        </w:rPr>
        <w:t>Lancang</w:t>
      </w:r>
      <w:proofErr w:type="spellEnd"/>
      <w:r w:rsidRPr="005665FF">
        <w:rPr>
          <w:rFonts w:ascii="Arial" w:eastAsia="Times New Roman" w:hAnsi="Arial" w:cs="Arial"/>
          <w:color w:val="000000"/>
          <w:sz w:val="24"/>
          <w:szCs w:val="24"/>
        </w:rPr>
        <w:t xml:space="preserve"> basin). By comparison with the period before 1990s (when there were no big dams), the natural regime here has changed as most of the Mekong River water is now trapped in these big dams and the annual sediment load to the delta has decreased by 50%–60%, the flood discharges have also decreased, low flow events are now common, the hydrological seasonal regime has shifted resulting in earlier and more severe salinity intrusion into the delta as well as flooding from storms at sea are now not blocked by the river discharge. Further, the riverbed is on the average deeper by 1.3m, to which riverbed mining also contributes. There has been a recent increase of erosion of riverbanks (400 locations) and coasts (66% of the foreshore is eroding) and their occurrence is increasing. If all the proposed mainstream hydropower dams in the Lower Mekong Basin were built, then the Vietnamese Mekong delta with its ecosystems and about 18 million people face critical issues of sustainability. The chapter also focuses on some remedial solutions that may decrease, but not eliminate, the negative impacts of these dams for the Vietnamese Mekong delta. </w:t>
      </w:r>
      <w:proofErr w:type="spellStart"/>
      <w:r w:rsidRPr="005665FF">
        <w:rPr>
          <w:rFonts w:ascii="Arial" w:eastAsia="Times New Roman" w:hAnsi="Arial" w:cs="Arial"/>
          <w:color w:val="000000"/>
          <w:sz w:val="24"/>
          <w:szCs w:val="24"/>
        </w:rPr>
        <w:t>Nonengineering</w:t>
      </w:r>
      <w:proofErr w:type="spellEnd"/>
      <w:r w:rsidRPr="005665FF">
        <w:rPr>
          <w:rFonts w:ascii="Arial" w:eastAsia="Times New Roman" w:hAnsi="Arial" w:cs="Arial"/>
          <w:color w:val="000000"/>
          <w:sz w:val="24"/>
          <w:szCs w:val="24"/>
        </w:rPr>
        <w:t xml:space="preserve"> solutions have the highest propriety, but engineering solutions are needed for protecting eroded coastal foreshore, riverbanks, and the mangrove belt. However, a long-term solution requires China adapting the use of its dams to accommodate the concerns of Vietnam.</w:t>
      </w:r>
    </w:p>
    <w:p w14:paraId="2401770F"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7413CE9"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45" w:name="m_8873885906141426999__Toc2349149"/>
      <w:r w:rsidRPr="005665FF">
        <w:rPr>
          <w:rFonts w:ascii="Calibri" w:eastAsia="Times New Roman" w:hAnsi="Calibri" w:cs="Calibri"/>
          <w:b/>
          <w:bCs/>
          <w:color w:val="800000"/>
        </w:rPr>
        <w:t>Institutional Frameworks for Development and Management of the Mekong River’s Water Resources.</w:t>
      </w:r>
      <w:bookmarkEnd w:id="145"/>
    </w:p>
    <w:p w14:paraId="4CCA94E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Tran Diep Thanh and Kim Chong-Soo. The Journal of Korean Policy Studies, 2018, volume 18, number 4.</w:t>
      </w:r>
    </w:p>
    <w:p w14:paraId="12BF4F1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5049F1C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The Mekong River which is shared commonly by six countries: China, Myanmar, Laos, Thailand, Cambodia and Vietnam, is one of the world’s great river systems. The source of the river’s great productivity is its seasonal variation in water level and the range of wetland habitats. Its biodiversity is fundamental to the viability of natural resource-based rural livelihoods of a current population of more 80 million people living in the total basin. The River is used for many purposes and belongs to each of the six basin countries and provides rich potential in hydropower, agriculture, and aquaculture...This also leads to some challenges and controversies faced by all countries in the basin relating to </w:t>
      </w:r>
      <w:proofErr w:type="spellStart"/>
      <w:r w:rsidRPr="005665FF">
        <w:rPr>
          <w:rFonts w:ascii="Arial" w:eastAsia="Times New Roman" w:hAnsi="Arial" w:cs="Arial"/>
          <w:color w:val="000000"/>
          <w:sz w:val="24"/>
          <w:szCs w:val="24"/>
        </w:rPr>
        <w:t>utilising</w:t>
      </w:r>
      <w:proofErr w:type="spellEnd"/>
      <w:r w:rsidRPr="005665FF">
        <w:rPr>
          <w:rFonts w:ascii="Arial" w:eastAsia="Times New Roman" w:hAnsi="Arial" w:cs="Arial"/>
          <w:color w:val="000000"/>
          <w:sz w:val="24"/>
          <w:szCs w:val="24"/>
        </w:rPr>
        <w:t xml:space="preserve">, developing and managing the River’s water resources in a sustainable and effective way. Although the four lower downstream basin has their own cooperation frameworks including the “historic” 1995 Agreement and the Mekong River Commission (the MRC) with a series of Procedures and Processes of water </w:t>
      </w:r>
      <w:proofErr w:type="spellStart"/>
      <w:r w:rsidRPr="005665FF">
        <w:rPr>
          <w:rFonts w:ascii="Arial" w:eastAsia="Times New Roman" w:hAnsi="Arial" w:cs="Arial"/>
          <w:color w:val="000000"/>
          <w:sz w:val="24"/>
          <w:szCs w:val="24"/>
        </w:rPr>
        <w:t>utilisation</w:t>
      </w:r>
      <w:proofErr w:type="spellEnd"/>
      <w:r w:rsidRPr="005665FF">
        <w:rPr>
          <w:rFonts w:ascii="Arial" w:eastAsia="Times New Roman" w:hAnsi="Arial" w:cs="Arial"/>
          <w:color w:val="000000"/>
          <w:sz w:val="24"/>
          <w:szCs w:val="24"/>
        </w:rPr>
        <w:t xml:space="preserve"> and diversion in theory, some large dams and water </w:t>
      </w:r>
      <w:proofErr w:type="spellStart"/>
      <w:r w:rsidRPr="005665FF">
        <w:rPr>
          <w:rFonts w:ascii="Arial" w:eastAsia="Times New Roman" w:hAnsi="Arial" w:cs="Arial"/>
          <w:color w:val="000000"/>
          <w:sz w:val="24"/>
          <w:szCs w:val="24"/>
        </w:rPr>
        <w:t>utilisation</w:t>
      </w:r>
      <w:proofErr w:type="spellEnd"/>
      <w:r w:rsidRPr="005665FF">
        <w:rPr>
          <w:rFonts w:ascii="Arial" w:eastAsia="Times New Roman" w:hAnsi="Arial" w:cs="Arial"/>
          <w:color w:val="000000"/>
          <w:sz w:val="24"/>
          <w:szCs w:val="24"/>
        </w:rPr>
        <w:t xml:space="preserve"> projects are being conducted and have plan to use unilaterally on the River and its tributaries in </w:t>
      </w:r>
      <w:r w:rsidRPr="005665FF">
        <w:rPr>
          <w:rFonts w:ascii="Arial" w:eastAsia="Times New Roman" w:hAnsi="Arial" w:cs="Arial"/>
          <w:color w:val="000000"/>
          <w:sz w:val="24"/>
          <w:szCs w:val="24"/>
        </w:rPr>
        <w:lastRenderedPageBreak/>
        <w:t xml:space="preserve">practice. As a result, after 23 years establishment of the MRC, this regional institution of the four lower downstream countries has not achieved completely its functions and missions given by the 1995 Agreement. The MRC is not an “antidote” to deal with conflicts and issues on </w:t>
      </w:r>
      <w:proofErr w:type="spellStart"/>
      <w:r w:rsidRPr="005665FF">
        <w:rPr>
          <w:rFonts w:ascii="Arial" w:eastAsia="Times New Roman" w:hAnsi="Arial" w:cs="Arial"/>
          <w:color w:val="000000"/>
          <w:sz w:val="24"/>
          <w:szCs w:val="24"/>
        </w:rPr>
        <w:t>utilisation</w:t>
      </w:r>
      <w:proofErr w:type="spellEnd"/>
      <w:r w:rsidRPr="005665FF">
        <w:rPr>
          <w:rFonts w:ascii="Arial" w:eastAsia="Times New Roman" w:hAnsi="Arial" w:cs="Arial"/>
          <w:color w:val="000000"/>
          <w:sz w:val="24"/>
          <w:szCs w:val="24"/>
        </w:rPr>
        <w:t xml:space="preserve"> and management of water resources. The paper will </w:t>
      </w:r>
      <w:proofErr w:type="spellStart"/>
      <w:r w:rsidRPr="005665FF">
        <w:rPr>
          <w:rFonts w:ascii="Arial" w:eastAsia="Times New Roman" w:hAnsi="Arial" w:cs="Arial"/>
          <w:color w:val="000000"/>
          <w:sz w:val="24"/>
          <w:szCs w:val="24"/>
        </w:rPr>
        <w:t>analyse</w:t>
      </w:r>
      <w:proofErr w:type="spellEnd"/>
      <w:r w:rsidRPr="005665FF">
        <w:rPr>
          <w:rFonts w:ascii="Arial" w:eastAsia="Times New Roman" w:hAnsi="Arial" w:cs="Arial"/>
          <w:color w:val="000000"/>
          <w:sz w:val="24"/>
          <w:szCs w:val="24"/>
        </w:rPr>
        <w:t xml:space="preserve"> institutional legal and framework of the 1995 Agreement and finally give suggestions about sustainable development and management of Mekong River’s water resources in the time to come.</w:t>
      </w:r>
    </w:p>
    <w:p w14:paraId="3FCD69FC"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01FE59B5"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r w:rsidRPr="005665FF">
        <w:rPr>
          <w:rFonts w:ascii="Arial" w:eastAsia="Times New Roman" w:hAnsi="Arial" w:cs="Arial"/>
          <w:color w:val="000000"/>
          <w:sz w:val="24"/>
          <w:szCs w:val="24"/>
        </w:rPr>
        <w:t>     </w:t>
      </w:r>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4667CAB4" w14:textId="15C431F9"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16D8334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F342D77"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46" w:name="m_8873885906141426999__Toc2349150"/>
      <w:r w:rsidRPr="005665FF">
        <w:rPr>
          <w:rFonts w:ascii="Calibri" w:eastAsia="Times New Roman" w:hAnsi="Calibri" w:cs="Calibri"/>
          <w:b/>
          <w:bCs/>
          <w:color w:val="800000"/>
        </w:rPr>
        <w:t>Optimizing Dam Management in the Mekong River Basin to Minimize Environmental Impacts.</w:t>
      </w:r>
      <w:bookmarkEnd w:id="146"/>
    </w:p>
    <w:p w14:paraId="0FC1260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J. Roush, A. D. Kendall and D. W. Hyndman. Fall Meeting 2018 American Geophysical Union, abstract #H21H-1725, 2018.</w:t>
      </w:r>
    </w:p>
    <w:p w14:paraId="7FDD388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4CF812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The rapid development of dams in the Mekong river basin is a subject of intense debate and growing international concern due to the unprecedented and potentially irreversible changes these dams can have on the hydrological, agricultural, and ecological systems across the basin. Studies have shown that some of the dams have altered the magnitude and seasonality of flows, blocked sediment transport, affected fisheries and the livelihood of downstream inhabitants, and changed flood pulses to important hydrologic systems of the region, including the Tonle Sap Lake. A key but often overlooked component of anthropogenic change in the Mekong system is dam management. Typically, dam management is modeled by assuming that observed trends in dam storage will continue into the future, or by creating a custom management scheme for each reservoir based on in situ measurements. Here, we present a novel method that utilizes remote sensing products and a convolutional neural network to quantify dam management in terms of each dam's irrigation and "hydropower fraction". This hydropower fraction defines the extent to which the dam is managed based on how much of the dam's reservoir is used for generating electricity, as opposed to irrigation or other human water use. Finding a hydropower fraction for all dams in the basin gives us more information on the processes controlling local and regional water management in addition to quantitative descriptions. Future work will integrate these hydropower fractions into the Landscape Hydrology Model (LHM) to simulate basin-wide scenarios, including maximizing hydropower potential and minimizing environmental impacts throughout the basin.</w:t>
      </w:r>
    </w:p>
    <w:p w14:paraId="079A2F1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10DB6F0"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47" w:name="m_8873885906141426999__Toc2349151"/>
      <w:r w:rsidRPr="005665FF">
        <w:rPr>
          <w:rFonts w:ascii="Calibri" w:eastAsia="Times New Roman" w:hAnsi="Calibri" w:cs="Calibri"/>
          <w:b/>
          <w:bCs/>
          <w:color w:val="800000"/>
        </w:rPr>
        <w:lastRenderedPageBreak/>
        <w:t>The Water Governance Reform Framework: Overview and Applications to Australia, Mexico, Tanzania, U.S.A and Vietnam.</w:t>
      </w:r>
      <w:bookmarkEnd w:id="147"/>
    </w:p>
    <w:p w14:paraId="462FDB6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R. Grafton, Dustin Garrick, Ana </w:t>
      </w:r>
      <w:proofErr w:type="spellStart"/>
      <w:r w:rsidRPr="005665FF">
        <w:rPr>
          <w:rFonts w:ascii="Arial" w:eastAsia="Times New Roman" w:hAnsi="Arial" w:cs="Arial"/>
          <w:color w:val="000000"/>
          <w:sz w:val="24"/>
          <w:szCs w:val="24"/>
        </w:rPr>
        <w:t>Manero</w:t>
      </w:r>
      <w:proofErr w:type="spellEnd"/>
      <w:r w:rsidRPr="005665FF">
        <w:rPr>
          <w:rFonts w:ascii="Arial" w:eastAsia="Times New Roman" w:hAnsi="Arial" w:cs="Arial"/>
          <w:color w:val="000000"/>
          <w:sz w:val="24"/>
          <w:szCs w:val="24"/>
        </w:rPr>
        <w:t xml:space="preserve"> and Thang Do. Water, 2019, volume 11, number 1.</w:t>
      </w:r>
    </w:p>
    <w:p w14:paraId="35009319"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77" w:tgtFrame="_blank" w:history="1">
        <w:r w:rsidRPr="005665FF">
          <w:rPr>
            <w:rFonts w:ascii="Arial" w:eastAsia="Times New Roman" w:hAnsi="Arial" w:cs="Arial"/>
            <w:color w:val="1155CC"/>
            <w:sz w:val="24"/>
            <w:szCs w:val="24"/>
            <w:u w:val="single"/>
          </w:rPr>
          <w:t>https://www.mdpi.com/2073-4441/11/1/137/pdf</w:t>
        </w:r>
      </w:hyperlink>
      <w:r w:rsidRPr="005665FF">
        <w:rPr>
          <w:rFonts w:ascii="Arial" w:eastAsia="Times New Roman" w:hAnsi="Arial" w:cs="Arial"/>
          <w:color w:val="000000"/>
          <w:sz w:val="24"/>
          <w:szCs w:val="24"/>
        </w:rPr>
        <w:t>.</w:t>
      </w:r>
    </w:p>
    <w:p w14:paraId="7218050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E85499D"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Abstract: The world faces critical water risks in relation to water availability, yet water demand is increasing in most countries. To respond to these risks, some governments and water authorities are reforming their governance frameworks to achieve convergence between water supply and demand and ensure freshwater ecosystem services are sustained. To assist in this reform process, the Water Governance Reform Framework (WGRF) is proposed, which includes seven key strategic considerations: (1) well-defined and publicly available reform objectives; (2) transparency in decision-making and public access to available data; (3) water valuation of uses and non-uses to assess trade-offs and winners and losers; (4) compensation for the marginalized or mitigation for persons who are disadvantaged by reform; (5) reform oversight and “champions”; (6) capacity to deliver; and (7) resilient decision-making. Using these reform criteria, we assess current and possible water reforms in five countries: Murray–Darling Basin (Australia); Rufiji Basin (Tanzania); Colorado Basin (USA and Mexico); and Vietnam. We contend that the WGRF provides a valuable approach to both evaluate and to improve water governance reform and, if employed within a broader water policy cycle, will help deliver both improved water outcomes and more effective water reforms. [internal-pdf://3094254230/water-11-00137.pdf].</w:t>
      </w:r>
    </w:p>
    <w:p w14:paraId="7A65D9E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3064A8BE" w14:textId="77777777" w:rsidR="005665FF" w:rsidRPr="005665FF" w:rsidRDefault="005665FF" w:rsidP="005665FF">
      <w:pPr>
        <w:spacing w:after="0" w:line="240" w:lineRule="auto"/>
        <w:outlineLvl w:val="1"/>
        <w:rPr>
          <w:rFonts w:ascii="Arial" w:eastAsia="Times New Roman" w:hAnsi="Arial" w:cs="Arial"/>
          <w:b/>
          <w:bCs/>
          <w:color w:val="000000"/>
          <w:sz w:val="36"/>
          <w:szCs w:val="36"/>
        </w:rPr>
      </w:pPr>
      <w:bookmarkStart w:id="148" w:name="m_8873885906141426999__Toc2349152"/>
      <w:r w:rsidRPr="005665FF">
        <w:rPr>
          <w:rFonts w:ascii="Calibri" w:eastAsia="Times New Roman" w:hAnsi="Calibri" w:cs="Calibri"/>
          <w:b/>
          <w:bCs/>
          <w:color w:val="800000"/>
        </w:rPr>
        <w:t xml:space="preserve">Gender in Development Discourses of Civil Society </w:t>
      </w:r>
      <w:proofErr w:type="spellStart"/>
      <w:r w:rsidRPr="005665FF">
        <w:rPr>
          <w:rFonts w:ascii="Calibri" w:eastAsia="Times New Roman" w:hAnsi="Calibri" w:cs="Calibri"/>
          <w:b/>
          <w:bCs/>
          <w:color w:val="800000"/>
        </w:rPr>
        <w:t>Organisations</w:t>
      </w:r>
      <w:proofErr w:type="spellEnd"/>
      <w:r w:rsidRPr="005665FF">
        <w:rPr>
          <w:rFonts w:ascii="Calibri" w:eastAsia="Times New Roman" w:hAnsi="Calibri" w:cs="Calibri"/>
          <w:b/>
          <w:bCs/>
          <w:color w:val="800000"/>
        </w:rPr>
        <w:t xml:space="preserve"> and Mekong Hydropower Dams.</w:t>
      </w:r>
      <w:bookmarkEnd w:id="148"/>
    </w:p>
    <w:p w14:paraId="20AA3B65"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Louis Lebel, </w:t>
      </w:r>
      <w:proofErr w:type="spellStart"/>
      <w:r w:rsidRPr="005665FF">
        <w:rPr>
          <w:rFonts w:ascii="Arial" w:eastAsia="Times New Roman" w:hAnsi="Arial" w:cs="Arial"/>
          <w:color w:val="000000"/>
          <w:sz w:val="24"/>
          <w:szCs w:val="24"/>
        </w:rPr>
        <w:t>Phimphakan</w:t>
      </w:r>
      <w:proofErr w:type="spellEnd"/>
      <w:r w:rsidRPr="005665FF">
        <w:rPr>
          <w:rFonts w:ascii="Arial" w:eastAsia="Times New Roman" w:hAnsi="Arial" w:cs="Arial"/>
          <w:color w:val="000000"/>
          <w:sz w:val="24"/>
          <w:szCs w:val="24"/>
        </w:rPr>
        <w:t xml:space="preserve"> Lebel, </w:t>
      </w:r>
      <w:proofErr w:type="spellStart"/>
      <w:r w:rsidRPr="005665FF">
        <w:rPr>
          <w:rFonts w:ascii="Arial" w:eastAsia="Times New Roman" w:hAnsi="Arial" w:cs="Arial"/>
          <w:color w:val="000000"/>
          <w:sz w:val="24"/>
          <w:szCs w:val="24"/>
        </w:rPr>
        <w:t>Kanokwan</w:t>
      </w:r>
      <w:proofErr w:type="spellEnd"/>
      <w:r w:rsidRPr="005665FF">
        <w:rPr>
          <w:rFonts w:ascii="Arial" w:eastAsia="Times New Roman" w:hAnsi="Arial" w:cs="Arial"/>
          <w:color w:val="000000"/>
          <w:sz w:val="24"/>
          <w:szCs w:val="24"/>
        </w:rPr>
        <w:t xml:space="preserve"> </w:t>
      </w:r>
      <w:proofErr w:type="spellStart"/>
      <w:r w:rsidRPr="005665FF">
        <w:rPr>
          <w:rFonts w:ascii="Arial" w:eastAsia="Times New Roman" w:hAnsi="Arial" w:cs="Arial"/>
          <w:color w:val="000000"/>
          <w:sz w:val="24"/>
          <w:szCs w:val="24"/>
        </w:rPr>
        <w:t>Manorom</w:t>
      </w:r>
      <w:proofErr w:type="spellEnd"/>
      <w:r w:rsidRPr="005665FF">
        <w:rPr>
          <w:rFonts w:ascii="Arial" w:eastAsia="Times New Roman" w:hAnsi="Arial" w:cs="Arial"/>
          <w:color w:val="000000"/>
          <w:sz w:val="24"/>
          <w:szCs w:val="24"/>
        </w:rPr>
        <w:t xml:space="preserve"> and Zhou </w:t>
      </w:r>
      <w:proofErr w:type="spellStart"/>
      <w:r w:rsidRPr="005665FF">
        <w:rPr>
          <w:rFonts w:ascii="Arial" w:eastAsia="Times New Roman" w:hAnsi="Arial" w:cs="Arial"/>
          <w:color w:val="000000"/>
          <w:sz w:val="24"/>
          <w:szCs w:val="24"/>
        </w:rPr>
        <w:t>Yishu</w:t>
      </w:r>
      <w:proofErr w:type="spellEnd"/>
      <w:r w:rsidRPr="005665FF">
        <w:rPr>
          <w:rFonts w:ascii="Arial" w:eastAsia="Times New Roman" w:hAnsi="Arial" w:cs="Arial"/>
          <w:color w:val="000000"/>
          <w:sz w:val="24"/>
          <w:szCs w:val="24"/>
        </w:rPr>
        <w:t>. Water Alternatives, 2019, volume 12, number 1.</w:t>
      </w:r>
    </w:p>
    <w:p w14:paraId="3DB5584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Free full text </w:t>
      </w:r>
      <w:hyperlink r:id="rId78" w:tgtFrame="_blank" w:history="1">
        <w:r w:rsidRPr="005665FF">
          <w:rPr>
            <w:rFonts w:ascii="Arial" w:eastAsia="Times New Roman" w:hAnsi="Arial" w:cs="Arial"/>
            <w:color w:val="1155CC"/>
            <w:sz w:val="24"/>
            <w:szCs w:val="24"/>
            <w:u w:val="single"/>
          </w:rPr>
          <w:t>http://www.water-alternatives.org/index.php/alldoc/articles/vol12/v12issue1/486-a12-1-12/file</w:t>
        </w:r>
      </w:hyperlink>
      <w:r w:rsidRPr="005665FF">
        <w:rPr>
          <w:rFonts w:ascii="Arial" w:eastAsia="Times New Roman" w:hAnsi="Arial" w:cs="Arial"/>
          <w:color w:val="000000"/>
          <w:sz w:val="24"/>
          <w:szCs w:val="24"/>
        </w:rPr>
        <w:t>.</w:t>
      </w:r>
    </w:p>
    <w:p w14:paraId="71085350"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677114C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xml:space="preserve">Abstract: 'Gender in development' discourses are used to justify interventions into, or opposition to, projects and policies; they may also influence perceptions, practices, or key decisions. Four discursive threads are globally prominent: livelihoods and poverty; natural resources and the environment; rights-based; and managerial. Civil society </w:t>
      </w:r>
      <w:proofErr w:type="spellStart"/>
      <w:r w:rsidRPr="005665FF">
        <w:rPr>
          <w:rFonts w:ascii="Arial" w:eastAsia="Times New Roman" w:hAnsi="Arial" w:cs="Arial"/>
          <w:color w:val="000000"/>
          <w:sz w:val="24"/>
          <w:szCs w:val="24"/>
        </w:rPr>
        <w:t>organisations</w:t>
      </w:r>
      <w:proofErr w:type="spellEnd"/>
      <w:r w:rsidRPr="005665FF">
        <w:rPr>
          <w:rFonts w:ascii="Arial" w:eastAsia="Times New Roman" w:hAnsi="Arial" w:cs="Arial"/>
          <w:color w:val="000000"/>
          <w:sz w:val="24"/>
          <w:szCs w:val="24"/>
        </w:rPr>
        <w:t xml:space="preserve"> (CSOs) have been vocal in raising awareness about the adverse impacts of large-scale hydropower developments on the environment, on local livelihoods, and on vulnerable groups including women. This discourse analysis first examines how </w:t>
      </w:r>
      <w:r w:rsidRPr="005665FF">
        <w:rPr>
          <w:rFonts w:ascii="Arial" w:eastAsia="Times New Roman" w:hAnsi="Arial" w:cs="Arial"/>
          <w:color w:val="000000"/>
          <w:sz w:val="24"/>
          <w:szCs w:val="24"/>
        </w:rPr>
        <w:lastRenderedPageBreak/>
        <w:t>CSOs engaging in hydropower processes in the Mekong Region frame and use gender in development discourses, and then evaluates the potential of these discourses to empower both women and men. Documents authored by CSOs are examined in detail for how gender is represented, as are media reports on CSO activities, interview transcripts, and images. The findings underline how CSOs depend on discursive legitimacy for influence. Their discursive strategies depend on three factors: the organizations’ goals with respect to development, gender, and the environment; whether the situation is pre- or post-construction; and, on their relationships with the state, project developers and dam-affected communities. The implications of these strategies for empowerment are often not straightforward; inadvertent and indirect effects, positive and negative, are common. The findings of this study are of practical value to CSOs wishing to be more reflexive in their work and more responsive to how it is talked about, as it shows the ways that language and images may enhance or inadvertently work against efforts to empower women.</w:t>
      </w:r>
    </w:p>
    <w:p w14:paraId="7836112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1AA73E45" w14:textId="77777777" w:rsidR="00FA2ADB" w:rsidRPr="005665FF" w:rsidRDefault="005665FF" w:rsidP="00FA2ADB">
      <w:pPr>
        <w:spacing w:before="100" w:beforeAutospacing="1" w:after="0" w:line="240" w:lineRule="auto"/>
        <w:rPr>
          <w:rStyle w:val="Hyperlink"/>
          <w:rFonts w:ascii="Arial" w:eastAsia="Times New Roman" w:hAnsi="Arial" w:cs="Arial"/>
          <w:sz w:val="24"/>
          <w:szCs w:val="24"/>
        </w:rPr>
      </w:pPr>
      <w:bookmarkStart w:id="149" w:name="m_8873885906141426999__Hlk511750469"/>
      <w:r w:rsidRPr="005665FF">
        <w:rPr>
          <w:rFonts w:ascii="Arial" w:eastAsia="Times New Roman" w:hAnsi="Arial" w:cs="Arial"/>
          <w:color w:val="000000"/>
          <w:sz w:val="24"/>
          <w:szCs w:val="24"/>
        </w:rPr>
        <w:t>    </w:t>
      </w:r>
      <w:bookmarkEnd w:id="149"/>
      <w:r w:rsidR="00FA2ADB" w:rsidRPr="005665FF">
        <w:rPr>
          <w:rFonts w:ascii="Arial" w:eastAsia="Times New Roman" w:hAnsi="Arial" w:cs="Arial"/>
          <w:color w:val="000000"/>
          <w:sz w:val="24"/>
          <w:szCs w:val="24"/>
        </w:rPr>
        <w:t> </w:t>
      </w:r>
      <w:r w:rsidR="00FA2ADB">
        <w:rPr>
          <w:rFonts w:ascii="Arial" w:eastAsia="Times New Roman" w:hAnsi="Arial" w:cs="Arial"/>
          <w:color w:val="1155CC"/>
          <w:sz w:val="24"/>
          <w:szCs w:val="24"/>
          <w:u w:val="single"/>
        </w:rPr>
        <w:fldChar w:fldCharType="begin"/>
      </w:r>
      <w:r w:rsidR="00FA2ADB">
        <w:rPr>
          <w:rFonts w:ascii="Arial" w:eastAsia="Times New Roman" w:hAnsi="Arial" w:cs="Arial"/>
          <w:color w:val="1155CC"/>
          <w:sz w:val="24"/>
          <w:szCs w:val="24"/>
          <w:u w:val="single"/>
        </w:rPr>
        <w:instrText xml:space="preserve"> HYPERLINK  \l "_top" </w:instrText>
      </w:r>
      <w:r w:rsidR="00FA2ADB">
        <w:rPr>
          <w:rFonts w:ascii="Arial" w:eastAsia="Times New Roman" w:hAnsi="Arial" w:cs="Arial"/>
          <w:color w:val="1155CC"/>
          <w:sz w:val="24"/>
          <w:szCs w:val="24"/>
          <w:u w:val="single"/>
        </w:rPr>
      </w:r>
      <w:r w:rsidR="00FA2ADB">
        <w:rPr>
          <w:rFonts w:ascii="Arial" w:eastAsia="Times New Roman" w:hAnsi="Arial" w:cs="Arial"/>
          <w:color w:val="1155CC"/>
          <w:sz w:val="24"/>
          <w:szCs w:val="24"/>
          <w:u w:val="single"/>
        </w:rPr>
        <w:fldChar w:fldCharType="separate"/>
      </w:r>
      <w:r w:rsidR="00FA2ADB" w:rsidRPr="005665FF">
        <w:rPr>
          <w:rStyle w:val="Hyperlink"/>
          <w:rFonts w:ascii="Arial" w:eastAsia="Times New Roman" w:hAnsi="Arial" w:cs="Arial"/>
          <w:sz w:val="24"/>
          <w:szCs w:val="24"/>
        </w:rPr>
        <w:t>Back to top</w:t>
      </w:r>
    </w:p>
    <w:p w14:paraId="4D3C9AE6" w14:textId="1D0CAFB7" w:rsidR="005665FF" w:rsidRPr="005665FF" w:rsidRDefault="00FA2ADB" w:rsidP="00FA2ADB">
      <w:pPr>
        <w:spacing w:before="100" w:beforeAutospacing="1" w:after="0" w:line="240" w:lineRule="auto"/>
        <w:rPr>
          <w:rFonts w:ascii="Arial" w:eastAsia="Times New Roman" w:hAnsi="Arial" w:cs="Arial"/>
          <w:color w:val="000000"/>
          <w:sz w:val="24"/>
          <w:szCs w:val="24"/>
        </w:rPr>
      </w:pPr>
      <w:r>
        <w:rPr>
          <w:rFonts w:ascii="Arial" w:eastAsia="Times New Roman" w:hAnsi="Arial" w:cs="Arial"/>
          <w:color w:val="1155CC"/>
          <w:sz w:val="24"/>
          <w:szCs w:val="24"/>
          <w:u w:val="single"/>
        </w:rPr>
        <w:fldChar w:fldCharType="end"/>
      </w:r>
    </w:p>
    <w:p w14:paraId="290F371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47C1E093" w14:textId="77777777" w:rsidR="005665FF" w:rsidRPr="005665FF" w:rsidRDefault="005665FF" w:rsidP="005665FF">
      <w:pPr>
        <w:spacing w:before="100" w:beforeAutospacing="1" w:after="100" w:afterAutospacing="1" w:line="240" w:lineRule="auto"/>
        <w:rPr>
          <w:rFonts w:ascii="Arial" w:eastAsia="Times New Roman" w:hAnsi="Arial" w:cs="Arial"/>
          <w:color w:val="000000"/>
          <w:sz w:val="24"/>
          <w:szCs w:val="24"/>
        </w:rPr>
      </w:pPr>
      <w:r w:rsidRPr="005665FF">
        <w:rPr>
          <w:rFonts w:ascii="Arial" w:eastAsia="Times New Roman" w:hAnsi="Arial" w:cs="Arial"/>
          <w:color w:val="000000"/>
          <w:sz w:val="24"/>
          <w:szCs w:val="24"/>
        </w:rPr>
        <w:t> </w:t>
      </w:r>
    </w:p>
    <w:p w14:paraId="73D1321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 </w:t>
      </w:r>
    </w:p>
    <w:p w14:paraId="3B7C1352"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 </w:t>
      </w:r>
    </w:p>
    <w:p w14:paraId="21FDFEA4"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 </w:t>
      </w:r>
    </w:p>
    <w:p w14:paraId="281EA8D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w:t>
      </w:r>
    </w:p>
    <w:p w14:paraId="3B4093C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proofErr w:type="spellStart"/>
      <w:r w:rsidRPr="005665FF">
        <w:rPr>
          <w:rFonts w:ascii="Arial" w:eastAsia="Times New Roman" w:hAnsi="Arial" w:cs="Arial"/>
          <w:color w:val="1F3864"/>
          <w:sz w:val="24"/>
          <w:szCs w:val="24"/>
        </w:rPr>
        <w:t>Vũ</w:t>
      </w:r>
      <w:proofErr w:type="spellEnd"/>
      <w:r w:rsidRPr="005665FF">
        <w:rPr>
          <w:rFonts w:ascii="Arial" w:eastAsia="Times New Roman" w:hAnsi="Arial" w:cs="Arial"/>
          <w:color w:val="1F3864"/>
          <w:sz w:val="24"/>
          <w:szCs w:val="24"/>
        </w:rPr>
        <w:t xml:space="preserve"> </w:t>
      </w:r>
      <w:proofErr w:type="spellStart"/>
      <w:r w:rsidRPr="005665FF">
        <w:rPr>
          <w:rFonts w:ascii="Arial" w:eastAsia="Times New Roman" w:hAnsi="Arial" w:cs="Arial"/>
          <w:color w:val="1F3864"/>
          <w:sz w:val="24"/>
          <w:szCs w:val="24"/>
        </w:rPr>
        <w:t>Thị</w:t>
      </w:r>
      <w:proofErr w:type="spellEnd"/>
      <w:r w:rsidRPr="005665FF">
        <w:rPr>
          <w:rFonts w:ascii="Arial" w:eastAsia="Times New Roman" w:hAnsi="Arial" w:cs="Arial"/>
          <w:color w:val="1F3864"/>
          <w:sz w:val="24"/>
          <w:szCs w:val="24"/>
        </w:rPr>
        <w:t xml:space="preserve"> </w:t>
      </w:r>
      <w:proofErr w:type="spellStart"/>
      <w:r w:rsidRPr="005665FF">
        <w:rPr>
          <w:rFonts w:ascii="Arial" w:eastAsia="Times New Roman" w:hAnsi="Arial" w:cs="Arial"/>
          <w:color w:val="1F3864"/>
          <w:sz w:val="24"/>
          <w:szCs w:val="24"/>
        </w:rPr>
        <w:t>Nha</w:t>
      </w:r>
      <w:proofErr w:type="spellEnd"/>
    </w:p>
    <w:p w14:paraId="3772184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Librarian</w:t>
      </w:r>
    </w:p>
    <w:p w14:paraId="2F1B281A"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World Bank Group</w:t>
      </w:r>
    </w:p>
    <w:p w14:paraId="3FDE3706"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63 Ly Thai To, Hanoi, Vietnam</w:t>
      </w:r>
    </w:p>
    <w:p w14:paraId="4AF1C941"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Tel.: +84-4-3934 6845</w:t>
      </w:r>
    </w:p>
    <w:p w14:paraId="38C2A7EB"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Email: </w:t>
      </w:r>
      <w:hyperlink r:id="rId79" w:tgtFrame="_blank" w:history="1">
        <w:r w:rsidRPr="005665FF">
          <w:rPr>
            <w:rFonts w:ascii="Arial" w:eastAsia="Times New Roman" w:hAnsi="Arial" w:cs="Arial"/>
            <w:color w:val="1F3864"/>
            <w:sz w:val="24"/>
            <w:szCs w:val="24"/>
            <w:u w:val="single"/>
          </w:rPr>
          <w:t>nvu2@worldbankgroup.org</w:t>
        </w:r>
      </w:hyperlink>
    </w:p>
    <w:p w14:paraId="1EB0AC07"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World Bank Vietnam web site </w:t>
      </w:r>
      <w:hyperlink r:id="rId80" w:tgtFrame="_blank" w:history="1">
        <w:r w:rsidRPr="005665FF">
          <w:rPr>
            <w:rFonts w:ascii="Arial" w:eastAsia="Times New Roman" w:hAnsi="Arial" w:cs="Arial"/>
            <w:color w:val="1F3864"/>
            <w:sz w:val="24"/>
            <w:szCs w:val="24"/>
            <w:u w:val="single"/>
          </w:rPr>
          <w:t>http://www.worldbank.org.vn</w:t>
        </w:r>
      </w:hyperlink>
    </w:p>
    <w:p w14:paraId="7AC45138"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lastRenderedPageBreak/>
        <w:t>WB’s free documents and reports </w:t>
      </w:r>
      <w:hyperlink r:id="rId81" w:tgtFrame="_blank" w:history="1">
        <w:r w:rsidRPr="005665FF">
          <w:rPr>
            <w:rFonts w:ascii="Arial" w:eastAsia="Times New Roman" w:hAnsi="Arial" w:cs="Arial"/>
            <w:color w:val="1F3864"/>
            <w:sz w:val="24"/>
            <w:szCs w:val="24"/>
            <w:u w:val="single"/>
          </w:rPr>
          <w:t>http://www.worldbank.org/documents</w:t>
        </w:r>
      </w:hyperlink>
    </w:p>
    <w:p w14:paraId="586CD8E3"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WB’s free publications &amp; research </w:t>
      </w:r>
      <w:hyperlink r:id="rId82" w:tgtFrame="_blank" w:history="1">
        <w:r w:rsidRPr="005665FF">
          <w:rPr>
            <w:rFonts w:ascii="Arial" w:eastAsia="Times New Roman" w:hAnsi="Arial" w:cs="Arial"/>
            <w:color w:val="1F3864"/>
            <w:sz w:val="24"/>
            <w:szCs w:val="24"/>
            <w:u w:val="single"/>
          </w:rPr>
          <w:t>http://openknowledge.worldbank.org</w:t>
        </w:r>
      </w:hyperlink>
    </w:p>
    <w:p w14:paraId="62C96CEE" w14:textId="77777777" w:rsidR="005665FF" w:rsidRPr="005665FF" w:rsidRDefault="005665FF" w:rsidP="005665FF">
      <w:pPr>
        <w:spacing w:before="100" w:beforeAutospacing="1" w:after="0" w:line="240" w:lineRule="auto"/>
        <w:rPr>
          <w:rFonts w:ascii="Arial" w:eastAsia="Times New Roman" w:hAnsi="Arial" w:cs="Arial"/>
          <w:color w:val="000000"/>
          <w:sz w:val="24"/>
          <w:szCs w:val="24"/>
        </w:rPr>
      </w:pPr>
      <w:r w:rsidRPr="005665FF">
        <w:rPr>
          <w:rFonts w:ascii="Arial" w:eastAsia="Times New Roman" w:hAnsi="Arial" w:cs="Arial"/>
          <w:color w:val="1F3864"/>
          <w:sz w:val="24"/>
          <w:szCs w:val="24"/>
        </w:rPr>
        <w:t>WB’s free data &amp; statistics </w:t>
      </w:r>
      <w:hyperlink r:id="rId83" w:tgtFrame="_blank" w:history="1">
        <w:r w:rsidRPr="005665FF">
          <w:rPr>
            <w:rFonts w:ascii="Arial" w:eastAsia="Times New Roman" w:hAnsi="Arial" w:cs="Arial"/>
            <w:color w:val="1F3864"/>
            <w:sz w:val="24"/>
            <w:szCs w:val="24"/>
            <w:u w:val="single"/>
          </w:rPr>
          <w:t>http://data.worldbank.org</w:t>
        </w:r>
      </w:hyperlink>
    </w:p>
    <w:p w14:paraId="2C304D26" w14:textId="77777777" w:rsidR="005665FF" w:rsidRDefault="005665FF"/>
    <w:sectPr w:rsidR="005665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D5A18"/>
    <w:multiLevelType w:val="multilevel"/>
    <w:tmpl w:val="16123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BC626F"/>
    <w:multiLevelType w:val="multilevel"/>
    <w:tmpl w:val="2E304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7A54B2"/>
    <w:multiLevelType w:val="multilevel"/>
    <w:tmpl w:val="04DA7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C62BC1"/>
    <w:multiLevelType w:val="multilevel"/>
    <w:tmpl w:val="9D94D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D9626C"/>
    <w:multiLevelType w:val="multilevel"/>
    <w:tmpl w:val="41C0C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7233E2"/>
    <w:multiLevelType w:val="multilevel"/>
    <w:tmpl w:val="3208E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DA04B2"/>
    <w:multiLevelType w:val="multilevel"/>
    <w:tmpl w:val="AF0C1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05122C"/>
    <w:multiLevelType w:val="multilevel"/>
    <w:tmpl w:val="971A6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6B32C1"/>
    <w:multiLevelType w:val="multilevel"/>
    <w:tmpl w:val="847E7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8D3104"/>
    <w:multiLevelType w:val="multilevel"/>
    <w:tmpl w:val="41E66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9C55B32"/>
    <w:multiLevelType w:val="multilevel"/>
    <w:tmpl w:val="AF5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474D40"/>
    <w:multiLevelType w:val="multilevel"/>
    <w:tmpl w:val="AEE4F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6B0846"/>
    <w:multiLevelType w:val="multilevel"/>
    <w:tmpl w:val="09D47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4"/>
  </w:num>
  <w:num w:numId="3">
    <w:abstractNumId w:val="3"/>
  </w:num>
  <w:num w:numId="4">
    <w:abstractNumId w:val="10"/>
  </w:num>
  <w:num w:numId="5">
    <w:abstractNumId w:val="8"/>
  </w:num>
  <w:num w:numId="6">
    <w:abstractNumId w:val="7"/>
  </w:num>
  <w:num w:numId="7">
    <w:abstractNumId w:val="6"/>
  </w:num>
  <w:num w:numId="8">
    <w:abstractNumId w:val="2"/>
  </w:num>
  <w:num w:numId="9">
    <w:abstractNumId w:val="5"/>
  </w:num>
  <w:num w:numId="10">
    <w:abstractNumId w:val="12"/>
  </w:num>
  <w:num w:numId="11">
    <w:abstractNumId w:val="1"/>
  </w:num>
  <w:num w:numId="12">
    <w:abstractNumId w:val="1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5FF"/>
    <w:rsid w:val="005665FF"/>
    <w:rsid w:val="00B31078"/>
    <w:rsid w:val="00FA2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80A79"/>
  <w15:chartTrackingRefBased/>
  <w15:docId w15:val="{86100D3F-549D-4D74-A924-007C0BA3E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65FF"/>
  </w:style>
  <w:style w:type="paragraph" w:styleId="Heading1">
    <w:name w:val="heading 1"/>
    <w:basedOn w:val="Normal"/>
    <w:link w:val="Heading1Char"/>
    <w:uiPriority w:val="9"/>
    <w:qFormat/>
    <w:rsid w:val="005665F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665F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65F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665FF"/>
    <w:rPr>
      <w:rFonts w:ascii="Times New Roman" w:eastAsia="Times New Roman" w:hAnsi="Times New Roman" w:cs="Times New Roman"/>
      <w:b/>
      <w:bCs/>
      <w:sz w:val="36"/>
      <w:szCs w:val="36"/>
    </w:rPr>
  </w:style>
  <w:style w:type="numbering" w:customStyle="1" w:styleId="NoList1">
    <w:name w:val="No List1"/>
    <w:next w:val="NoList"/>
    <w:uiPriority w:val="99"/>
    <w:semiHidden/>
    <w:unhideWhenUsed/>
    <w:rsid w:val="005665FF"/>
  </w:style>
  <w:style w:type="paragraph" w:customStyle="1" w:styleId="msonormal0">
    <w:name w:val="msonormal"/>
    <w:basedOn w:val="Normal"/>
    <w:rsid w:val="005665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8873885906141426999msotoc1">
    <w:name w:val="m_8873885906141426999msotoc1"/>
    <w:basedOn w:val="Normal"/>
    <w:rsid w:val="005665F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665FF"/>
    <w:rPr>
      <w:color w:val="0000FF"/>
      <w:u w:val="single"/>
    </w:rPr>
  </w:style>
  <w:style w:type="character" w:styleId="FollowedHyperlink">
    <w:name w:val="FollowedHyperlink"/>
    <w:basedOn w:val="DefaultParagraphFont"/>
    <w:uiPriority w:val="99"/>
    <w:semiHidden/>
    <w:unhideWhenUsed/>
    <w:rsid w:val="005665FF"/>
    <w:rPr>
      <w:color w:val="800080"/>
      <w:u w:val="single"/>
    </w:rPr>
  </w:style>
  <w:style w:type="paragraph" w:customStyle="1" w:styleId="m8873885906141426999msotoc2">
    <w:name w:val="m_8873885906141426999msotoc2"/>
    <w:basedOn w:val="Normal"/>
    <w:rsid w:val="005665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8873885906141426999msohyperlink">
    <w:name w:val="m_8873885906141426999msohyperlink"/>
    <w:basedOn w:val="DefaultParagraphFont"/>
    <w:rsid w:val="005665FF"/>
  </w:style>
  <w:style w:type="character" w:styleId="UnresolvedMention">
    <w:name w:val="Unresolved Mention"/>
    <w:basedOn w:val="DefaultParagraphFont"/>
    <w:uiPriority w:val="99"/>
    <w:semiHidden/>
    <w:unhideWhenUsed/>
    <w:rsid w:val="005665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7094030">
      <w:bodyDiv w:val="1"/>
      <w:marLeft w:val="0"/>
      <w:marRight w:val="0"/>
      <w:marTop w:val="0"/>
      <w:marBottom w:val="0"/>
      <w:divBdr>
        <w:top w:val="none" w:sz="0" w:space="0" w:color="auto"/>
        <w:left w:val="none" w:sz="0" w:space="0" w:color="auto"/>
        <w:bottom w:val="none" w:sz="0" w:space="0" w:color="auto"/>
        <w:right w:val="none" w:sz="0" w:space="0" w:color="auto"/>
      </w:divBdr>
    </w:div>
    <w:div w:id="1931113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21665095.2019.1568900" TargetMode="External"/><Relationship Id="rId18" Type="http://schemas.openxmlformats.org/officeDocument/2006/relationships/hyperlink" Target="http://www.cerp.carloalberto.org/land-ownership-and-informal-credit-in-rural-vietnam/" TargetMode="External"/><Relationship Id="rId26" Type="http://schemas.openxmlformats.org/officeDocument/2006/relationships/hyperlink" Target="http://cep.lse.ac.uk/pubs/download/dp1593.pdf" TargetMode="External"/><Relationship Id="rId39" Type="http://schemas.openxmlformats.org/officeDocument/2006/relationships/hyperlink" Target="https://doi.org/10.1016/S0140-6736(18)32090-7" TargetMode="External"/><Relationship Id="rId21" Type="http://schemas.openxmlformats.org/officeDocument/2006/relationships/hyperlink" Target="https://think-asia.org/bitstream/handle/11540/9510/TheStateofSEASurveyReport_2019.pdf?sequence=1" TargetMode="External"/><Relationship Id="rId34" Type="http://schemas.openxmlformats.org/officeDocument/2006/relationships/hyperlink" Target="https://mail.google.com/mail/u/0?ui=2&amp;ik=98e23e7e7e&amp;view=lg&amp;permmsgid=msg-f%3A1626799617932186846&amp;ser=1" TargetMode="External"/><Relationship Id="rId42" Type="http://schemas.openxmlformats.org/officeDocument/2006/relationships/hyperlink" Target="https://bmjopen.bmj.com/content/bmjopen/9/1/bmjopen-2018-022544.full.pdf" TargetMode="External"/><Relationship Id="rId47" Type="http://schemas.openxmlformats.org/officeDocument/2006/relationships/hyperlink" Target="https://www.ncbi.nlm.nih.gov/pubmed/30307947" TargetMode="External"/><Relationship Id="rId50" Type="http://schemas.openxmlformats.org/officeDocument/2006/relationships/hyperlink" Target="https://www.ncbi.nlm.nih.gov/pmc/articles/PMC6357573/" TargetMode="External"/><Relationship Id="rId55" Type="http://schemas.openxmlformats.org/officeDocument/2006/relationships/hyperlink" Target="https://watermark.silverchair.com/ofz030.pdf" TargetMode="External"/><Relationship Id="rId63" Type="http://schemas.openxmlformats.org/officeDocument/2006/relationships/hyperlink" Target="https://onlinelibrary.wiley.com/doi/abs/10.1111/mcn.12705" TargetMode="External"/><Relationship Id="rId68" Type="http://schemas.openxmlformats.org/officeDocument/2006/relationships/hyperlink" Target="https://www.ncbi.nlm.nih.gov/pmc/PMC6356029/" TargetMode="External"/><Relationship Id="rId76" Type="http://schemas.openxmlformats.org/officeDocument/2006/relationships/hyperlink" Target="https://www.sei.org/wp-content/uploads/2019/01/gender-and-water-insecurity-sei-discussion-briefing.pdf" TargetMode="External"/><Relationship Id="rId84" Type="http://schemas.openxmlformats.org/officeDocument/2006/relationships/fontTable" Target="fontTable.xml"/><Relationship Id="rId7" Type="http://schemas.openxmlformats.org/officeDocument/2006/relationships/hyperlink" Target="https://cgspace.cgiar.org/bitstream/handle/10568/99248/CCAFS%20WP%20245_Mekong%20Assessment.pdf" TargetMode="External"/><Relationship Id="rId71" Type="http://schemas.openxmlformats.org/officeDocument/2006/relationships/hyperlink" Target="https://www.imf.org/en/Publications/CR/Issues/2019/01/10/Vietnam-Technical-Assistance-Report-Report-on-Residential-Property-Price-Statistics-Capacity-46512?cid=em-COM-123-38226" TargetMode="External"/><Relationship Id="rId2" Type="http://schemas.openxmlformats.org/officeDocument/2006/relationships/styles" Target="styles.xml"/><Relationship Id="rId16" Type="http://schemas.openxmlformats.org/officeDocument/2006/relationships/hyperlink" Target="https://mail.google.com/mail/u/0?ui=2&amp;ik=98e23e7e7e&amp;view=lg&amp;permmsgid=msg-f%3A1626799617932186846&amp;ser=1" TargetMode="External"/><Relationship Id="rId29" Type="http://schemas.openxmlformats.org/officeDocument/2006/relationships/hyperlink" Target="http://documents.worldbank.org/curated/en/115641545141262780/The-Economic-Case-for-Education-in-Vietnam" TargetMode="External"/><Relationship Id="rId11" Type="http://schemas.openxmlformats.org/officeDocument/2006/relationships/hyperlink" Target="https://mail.google.com/mail/u/0?ui=2&amp;ik=98e23e7e7e&amp;view=lg&amp;permmsgid=msg-f%3A1626799617932186846&amp;ser=1" TargetMode="External"/><Relationship Id="rId24" Type="http://schemas.openxmlformats.org/officeDocument/2006/relationships/hyperlink" Target="http://jed.neu.edu.vn/back-issue/volume-20-number-3-december-2018/determinants-of-firm-growth-evidence-from-vietnamese-small-and-medium-sized-manufacturing-enterprises.373652.aspx" TargetMode="External"/><Relationship Id="rId32" Type="http://schemas.openxmlformats.org/officeDocument/2006/relationships/hyperlink" Target="https://mail.google.com/mail/u/0?ui=2&amp;ik=98e23e7e7e&amp;view=lg&amp;permmsgid=msg-f%3A1626799617932186846&amp;ser=1" TargetMode="External"/><Relationship Id="rId37" Type="http://schemas.openxmlformats.org/officeDocument/2006/relationships/hyperlink" Target="https://econpapers.repec.org/paper/unuwpaper/wp2018-171.htm" TargetMode="External"/><Relationship Id="rId40" Type="http://schemas.openxmlformats.org/officeDocument/2006/relationships/hyperlink" Target="https://econpapers.repec.org/paper/pramprapa/90415.htm" TargetMode="External"/><Relationship Id="rId45" Type="http://schemas.openxmlformats.org/officeDocument/2006/relationships/hyperlink" Target="https://doi.org/10.1371/journal.pone.0212783" TargetMode="External"/><Relationship Id="rId53" Type="http://schemas.openxmlformats.org/officeDocument/2006/relationships/hyperlink" Target="https://www.ncbi.nlm.nih.gov/pmc/articles/PMC6242784/" TargetMode="External"/><Relationship Id="rId58" Type="http://schemas.openxmlformats.org/officeDocument/2006/relationships/hyperlink" Target="https://doi.org/10.1080/16549716.2018.1556573" TargetMode="External"/><Relationship Id="rId66" Type="http://schemas.openxmlformats.org/officeDocument/2006/relationships/hyperlink" Target="http://www.mdpi.com/2071-1050/11/2/514" TargetMode="External"/><Relationship Id="rId74" Type="http://schemas.openxmlformats.org/officeDocument/2006/relationships/hyperlink" Target="http://documents.worldbank.org/curated/en/670481546954395456/Poverty-Measurement-in-the-Era-of-Food-Away-from-Home-Testing-Alternative-Approaches-in-Vietnam" TargetMode="External"/><Relationship Id="rId79" Type="http://schemas.openxmlformats.org/officeDocument/2006/relationships/hyperlink" Target="mailto:nvu2@worldbankgroup.org" TargetMode="External"/><Relationship Id="rId5" Type="http://schemas.openxmlformats.org/officeDocument/2006/relationships/hyperlink" Target="http://www.searca.org/knowledge-resources/1603-pre-download?pid=413" TargetMode="External"/><Relationship Id="rId61" Type="http://schemas.openxmlformats.org/officeDocument/2006/relationships/hyperlink" Target="https://www.ncbi.nlm.nih.gov/pmc/articles/PMC6334422/" TargetMode="External"/><Relationship Id="rId82" Type="http://schemas.openxmlformats.org/officeDocument/2006/relationships/hyperlink" Target="http://openknowledge.worldbank.org/" TargetMode="External"/><Relationship Id="rId19" Type="http://schemas.openxmlformats.org/officeDocument/2006/relationships/hyperlink" Target="https://vc.bridgew.edu/cgi/viewcontent.cgi?article=2097&amp;context=jiws" TargetMode="External"/><Relationship Id="rId4" Type="http://schemas.openxmlformats.org/officeDocument/2006/relationships/webSettings" Target="webSettings.xml"/><Relationship Id="rId9" Type="http://schemas.openxmlformats.org/officeDocument/2006/relationships/hyperlink" Target="http://www.searca.org/knowledge-resources/1603-pre-download?pid=426" TargetMode="External"/><Relationship Id="rId14" Type="http://schemas.openxmlformats.org/officeDocument/2006/relationships/hyperlink" Target="http://www.searca.org/knowledge-resources/1603-pre-download?pid=398" TargetMode="External"/><Relationship Id="rId22" Type="http://schemas.openxmlformats.org/officeDocument/2006/relationships/hyperlink" Target="http://journal.binus.ac.id/index.php/jas/article/view/5095" TargetMode="External"/><Relationship Id="rId27" Type="http://schemas.openxmlformats.org/officeDocument/2006/relationships/hyperlink" Target="http://downloads.hindawi.com/journals/complexity/2019/6048195.pdf" TargetMode="External"/><Relationship Id="rId30" Type="http://schemas.openxmlformats.org/officeDocument/2006/relationships/hyperlink" Target="https://econpapers.repec.org/paper/pramprapa/90414.htm" TargetMode="External"/><Relationship Id="rId35" Type="http://schemas.openxmlformats.org/officeDocument/2006/relationships/hyperlink" Target="http://dspace.library.uu.nl/handle/1874/375843" TargetMode="External"/><Relationship Id="rId43" Type="http://schemas.openxmlformats.org/officeDocument/2006/relationships/hyperlink" Target="https://doi.org/10.1007/s11250-019-01820-6" TargetMode="External"/><Relationship Id="rId48" Type="http://schemas.openxmlformats.org/officeDocument/2006/relationships/hyperlink" Target="http://www.sciencedirect.com/science/article/pii/S2214109X18305205" TargetMode="External"/><Relationship Id="rId56" Type="http://schemas.openxmlformats.org/officeDocument/2006/relationships/hyperlink" Target="http://www.mdpi.com/1660-4601/16/3/432" TargetMode="External"/><Relationship Id="rId64" Type="http://schemas.openxmlformats.org/officeDocument/2006/relationships/hyperlink" Target="http://downloads.hindawi.com/journals/bmri/2019/6921312.pdf" TargetMode="External"/><Relationship Id="rId69" Type="http://schemas.openxmlformats.org/officeDocument/2006/relationships/hyperlink" Target="http://www.mdpi.com/2077-0383/8/2/168" TargetMode="External"/><Relationship Id="rId77" Type="http://schemas.openxmlformats.org/officeDocument/2006/relationships/hyperlink" Target="https://www.mdpi.com/2073-4441/11/1/137/pdf" TargetMode="External"/><Relationship Id="rId8" Type="http://schemas.openxmlformats.org/officeDocument/2006/relationships/hyperlink" Target="http://www.sciencedirect.com/science/article/pii/S2468550X1830159X" TargetMode="External"/><Relationship Id="rId51" Type="http://schemas.openxmlformats.org/officeDocument/2006/relationships/hyperlink" Target="https://www.ncbi.nlm.nih.gov/pmc/PMC6357573/" TargetMode="External"/><Relationship Id="rId72" Type="http://schemas.openxmlformats.org/officeDocument/2006/relationships/hyperlink" Target="https://econpapers.repec.org/paper/ocpppaper/pb1833.htm" TargetMode="External"/><Relationship Id="rId80" Type="http://schemas.openxmlformats.org/officeDocument/2006/relationships/hyperlink" Target="http://www.worldbank.org.vn/"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cifor.org/library/7081/" TargetMode="External"/><Relationship Id="rId17" Type="http://schemas.openxmlformats.org/officeDocument/2006/relationships/hyperlink" Target="https://think-asia.org/bitstream/handle/11540/9511/TRS2_19.pdf" TargetMode="External"/><Relationship Id="rId25" Type="http://schemas.openxmlformats.org/officeDocument/2006/relationships/hyperlink" Target="http://jed.neu.edu.vn/back-issue/volume-20-number-3-december-2018/fostering-entrepreneurship-among-academia-a-study-of-vietnamese-scientist-commercialization.373653.aspx" TargetMode="External"/><Relationship Id="rId33" Type="http://schemas.openxmlformats.org/officeDocument/2006/relationships/hyperlink" Target="https://www.researchgate.net/" TargetMode="External"/><Relationship Id="rId38" Type="http://schemas.openxmlformats.org/officeDocument/2006/relationships/hyperlink" Target="https://doi.org/10.1080/00141844.2018.1561490" TargetMode="External"/><Relationship Id="rId46" Type="http://schemas.openxmlformats.org/officeDocument/2006/relationships/hyperlink" Target="https://www.ncbi.nlm.nih.gov/pubmed/30631778" TargetMode="External"/><Relationship Id="rId59" Type="http://schemas.openxmlformats.org/officeDocument/2006/relationships/hyperlink" Target="https://researchbank.rmit.edu.au/view/rmit:51227" TargetMode="External"/><Relationship Id="rId67" Type="http://schemas.openxmlformats.org/officeDocument/2006/relationships/hyperlink" Target="https://www.ncbi.nlm.nih.gov/pubmed/30718994" TargetMode="External"/><Relationship Id="rId20" Type="http://schemas.openxmlformats.org/officeDocument/2006/relationships/hyperlink" Target="https://mail.google.com/mail/u/0?ui=2&amp;ik=98e23e7e7e&amp;view=lg&amp;permmsgid=msg-f%3A1626799617932186846&amp;ser=1" TargetMode="External"/><Relationship Id="rId41" Type="http://schemas.openxmlformats.org/officeDocument/2006/relationships/hyperlink" Target="https://www.iseas.edu.sg/images/pdf/ISEAS_Perspective_2019_9.pdf" TargetMode="External"/><Relationship Id="rId54" Type="http://schemas.openxmlformats.org/officeDocument/2006/relationships/hyperlink" Target="https://doi.org/10.1177/1010539518824810" TargetMode="External"/><Relationship Id="rId62" Type="http://schemas.openxmlformats.org/officeDocument/2006/relationships/hyperlink" Target="http://www.mdpi.com/1660-4601/16/4/607" TargetMode="External"/><Relationship Id="rId70" Type="http://schemas.openxmlformats.org/officeDocument/2006/relationships/hyperlink" Target="http://documents.worldbank.org/curated/en/290361547820276005/Vietnam-Maximizing-Finance-for-Development-in-the-Energy-Sector" TargetMode="External"/><Relationship Id="rId75" Type="http://schemas.openxmlformats.org/officeDocument/2006/relationships/hyperlink" Target="http://wp-tvsep.ifgb.uni-hannover.de/RePEc/tvs/pdfbib/wp-013.pdf" TargetMode="External"/><Relationship Id="rId83" Type="http://schemas.openxmlformats.org/officeDocument/2006/relationships/hyperlink" Target="http://data.worldbank.org/" TargetMode="External"/><Relationship Id="rId1" Type="http://schemas.openxmlformats.org/officeDocument/2006/relationships/numbering" Target="numbering.xml"/><Relationship Id="rId6" Type="http://schemas.openxmlformats.org/officeDocument/2006/relationships/hyperlink" Target="https://www.cabdirect.org/cabdirect/abstract/20193054729" TargetMode="External"/><Relationship Id="rId15" Type="http://schemas.openxmlformats.org/officeDocument/2006/relationships/hyperlink" Target="https://www.researchgate.net/" TargetMode="External"/><Relationship Id="rId23" Type="http://schemas.openxmlformats.org/officeDocument/2006/relationships/hyperlink" Target="http://jed.neu.edu.vn/back-issue/volume-20-number-3-december-2018/the-determinants-of-equitization-success-of-state-owned-enterprises-in-vietnam.373650.aspx" TargetMode="External"/><Relationship Id="rId28" Type="http://schemas.openxmlformats.org/officeDocument/2006/relationships/hyperlink" Target="https://rgs-ibg.onlinelibrary.wiley.com/doi/abs/10.1111/tran.12286" TargetMode="External"/><Relationship Id="rId36" Type="http://schemas.openxmlformats.org/officeDocument/2006/relationships/hyperlink" Target="http://www.hyxb.org.cn/aoscn/ch/reader/create_pdf.aspx" TargetMode="External"/><Relationship Id="rId49" Type="http://schemas.openxmlformats.org/officeDocument/2006/relationships/hyperlink" Target="https://journals.plos.org/plosmedicine/article?id=10.1371/journal.pmed.1002745" TargetMode="External"/><Relationship Id="rId57" Type="http://schemas.openxmlformats.org/officeDocument/2006/relationships/hyperlink" Target="https://ideas.repec.org/p/agi/wpaper/00000150.html" TargetMode="External"/><Relationship Id="rId10" Type="http://schemas.openxmlformats.org/officeDocument/2006/relationships/hyperlink" Target="http://www.mdpi.com/1999-4907/10/1/47" TargetMode="External"/><Relationship Id="rId31" Type="http://schemas.openxmlformats.org/officeDocument/2006/relationships/hyperlink" Target="https://www.younglives.org.uk/sites/www.younglives.org.uk/files/YL-WP181.pdf" TargetMode="External"/><Relationship Id="rId44" Type="http://schemas.openxmlformats.org/officeDocument/2006/relationships/hyperlink" Target="https://doi.org/10.1038/s41598-018-37616-1" TargetMode="External"/><Relationship Id="rId52" Type="http://schemas.openxmlformats.org/officeDocument/2006/relationships/hyperlink" Target="http://downloads.hindawi.com/journals/bmri/2019/9154918.pdf" TargetMode="External"/><Relationship Id="rId60" Type="http://schemas.openxmlformats.org/officeDocument/2006/relationships/hyperlink" Target="https://doi.org/10.1186/s12954-019-0282-x" TargetMode="External"/><Relationship Id="rId65" Type="http://schemas.openxmlformats.org/officeDocument/2006/relationships/hyperlink" Target="http://downloads.hindawi.com/journals/bmri/2019/1547626.pdf" TargetMode="External"/><Relationship Id="rId73" Type="http://schemas.openxmlformats.org/officeDocument/2006/relationships/hyperlink" Target="https://academiccommons.columbia.edu/doi/10.7916/D8HQ5GCJ" TargetMode="External"/><Relationship Id="rId78" Type="http://schemas.openxmlformats.org/officeDocument/2006/relationships/hyperlink" Target="http://www.water-alternatives.org/index.php/alldoc/articles/vol12/v12issue1/486-a12-1-12/file" TargetMode="External"/><Relationship Id="rId81" Type="http://schemas.openxmlformats.org/officeDocument/2006/relationships/hyperlink" Target="http://www.worldbank.org/docu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97</Pages>
  <Words>38638</Words>
  <Characters>220243</Characters>
  <Application>Microsoft Office Word</Application>
  <DocSecurity>0</DocSecurity>
  <Lines>1835</Lines>
  <Paragraphs>516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Hoanh Tran</dc:creator>
  <cp:keywords/>
  <dc:description/>
  <cp:lastModifiedBy>Hoanh Tran</cp:lastModifiedBy>
  <cp:revision>1</cp:revision>
  <dcterms:created xsi:type="dcterms:W3CDTF">2019-03-01T19:43:00Z</dcterms:created>
  <dcterms:modified xsi:type="dcterms:W3CDTF">2019-03-01T20:13:00Z</dcterms:modified>
</cp:coreProperties>
</file>