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9360"/>
      </w:tblGrid>
      <w:tr w:rsidR="00116AF4" w:rsidRPr="00116AF4" w:rsidTr="00116AF4">
        <w:trPr>
          <w:tblCellSpacing w:w="0" w:type="dxa"/>
        </w:trPr>
        <w:tc>
          <w:tcPr>
            <w:tcW w:w="0" w:type="auto"/>
            <w:tcMar>
              <w:top w:w="0" w:type="dxa"/>
              <w:left w:w="0" w:type="dxa"/>
              <w:bottom w:w="60" w:type="dxa"/>
              <w:right w:w="0" w:type="dxa"/>
            </w:tcMar>
            <w:vAlign w:val="center"/>
            <w:hideMark/>
          </w:tcPr>
          <w:p w:rsidR="00116AF4" w:rsidRPr="00116AF4" w:rsidRDefault="00116AF4" w:rsidP="00116AF4">
            <w:pPr>
              <w:rPr>
                <w:rFonts w:ascii="Arial" w:eastAsia="Times New Roman" w:hAnsi="Arial" w:cs="Arial"/>
                <w:color w:val="000000"/>
                <w:sz w:val="20"/>
                <w:szCs w:val="20"/>
              </w:rPr>
            </w:pPr>
            <w:bookmarkStart w:id="0" w:name="_top"/>
            <w:bookmarkEnd w:id="0"/>
          </w:p>
        </w:tc>
      </w:tr>
      <w:tr w:rsidR="00116AF4" w:rsidRPr="00116AF4" w:rsidTr="00116AF4">
        <w:trPr>
          <w:tblCellSpacing w:w="0" w:type="dxa"/>
        </w:trPr>
        <w:tc>
          <w:tcPr>
            <w:tcW w:w="0" w:type="auto"/>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9360"/>
            </w:tblGrid>
            <w:tr w:rsidR="00116AF4" w:rsidRPr="00116AF4">
              <w:trPr>
                <w:tblCellSpacing w:w="0" w:type="dxa"/>
              </w:trPr>
              <w:tc>
                <w:tcPr>
                  <w:tcW w:w="0" w:type="auto"/>
                  <w:vAlign w:val="center"/>
                  <w:hideMark/>
                </w:tcPr>
                <w:p w:rsidR="00116AF4" w:rsidRPr="001B152A" w:rsidRDefault="00116AF4" w:rsidP="00116AF4">
                  <w:pPr>
                    <w:pStyle w:val="NormalWeb"/>
                    <w:rPr>
                      <w:color w:val="FF0000"/>
                      <w:sz w:val="28"/>
                      <w:szCs w:val="28"/>
                    </w:rPr>
                  </w:pPr>
                  <w:bookmarkStart w:id="1" w:name="m_2775912902713410657__top"/>
                  <w:bookmarkStart w:id="2" w:name="m_2775912902713410657__Hlk507510406"/>
                  <w:bookmarkEnd w:id="1"/>
                  <w:bookmarkEnd w:id="2"/>
                  <w:r w:rsidRPr="001B152A">
                    <w:rPr>
                      <w:rStyle w:val="Strong"/>
                      <w:color w:val="FF0000"/>
                      <w:sz w:val="28"/>
                      <w:szCs w:val="28"/>
                    </w:rPr>
                    <w:t>New research on development issues in Vietnam - Volume 10, number 9 (2018 August 14)</w:t>
                  </w:r>
                </w:p>
                <w:p w:rsidR="00116AF4" w:rsidRDefault="00116AF4" w:rsidP="00116AF4">
                  <w:pPr>
                    <w:pStyle w:val="NormalWeb"/>
                  </w:pPr>
                  <w:r>
                    <w:t> </w:t>
                  </w:r>
                </w:p>
                <w:p w:rsidR="00116AF4" w:rsidRDefault="00116AF4" w:rsidP="00116AF4">
                  <w:pPr>
                    <w:pStyle w:val="NormalWeb"/>
                  </w:pPr>
                  <w:hyperlink w:anchor="m_2775912902713410657__Toc522026451" w:history="1">
                    <w:r>
                      <w:rPr>
                        <w:rStyle w:val="Hyperlink"/>
                      </w:rPr>
                      <w:t xml:space="preserve">AGRICULTURE AND RURAL </w:t>
                    </w:r>
                    <w:r>
                      <w:rPr>
                        <w:rStyle w:val="Hyperlink"/>
                      </w:rPr>
                      <w:t>D</w:t>
                    </w:r>
                    <w:r>
                      <w:rPr>
                        <w:rStyle w:val="Hyperlink"/>
                      </w:rPr>
                      <w:t>EVELOPMENT</w:t>
                    </w:r>
                  </w:hyperlink>
                </w:p>
                <w:p w:rsidR="00116AF4" w:rsidRDefault="00116AF4" w:rsidP="00116AF4">
                  <w:pPr>
                    <w:pStyle w:val="NormalWeb"/>
                  </w:pPr>
                  <w:r>
                    <w:t xml:space="preserve">· </w:t>
                  </w:r>
                  <w:hyperlink w:anchor="m_2775912902713410657__Toc522026452" w:history="1">
                    <w:r>
                      <w:rPr>
                        <w:rStyle w:val="Hyperlink"/>
                      </w:rPr>
                      <w:t>Evolution of Agricultural Mechanization in Vietnam: Insights from a Literature Review and Multiple Rounds of a Farm Household Survey.</w:t>
                    </w:r>
                  </w:hyperlink>
                </w:p>
                <w:p w:rsidR="00116AF4" w:rsidRDefault="00116AF4" w:rsidP="00116AF4">
                  <w:pPr>
                    <w:pStyle w:val="NormalWeb"/>
                  </w:pPr>
                  <w:r>
                    <w:t xml:space="preserve">· </w:t>
                  </w:r>
                  <w:hyperlink w:anchor="m_2775912902713410657__Toc522026453" w:history="1">
                    <w:r>
                      <w:rPr>
                        <w:rStyle w:val="Hyperlink"/>
                      </w:rPr>
                      <w:t xml:space="preserve">Efficiency and adoption of organic tea production: Evidence from Vi </w:t>
                    </w:r>
                    <w:proofErr w:type="spellStart"/>
                    <w:r>
                      <w:rPr>
                        <w:rStyle w:val="Hyperlink"/>
                      </w:rPr>
                      <w:t>Xuyen</w:t>
                    </w:r>
                    <w:proofErr w:type="spellEnd"/>
                    <w:r>
                      <w:rPr>
                        <w:rStyle w:val="Hyperlink"/>
                      </w:rPr>
                      <w:t xml:space="preserve"> district, Ha </w:t>
                    </w:r>
                    <w:proofErr w:type="spellStart"/>
                    <w:r>
                      <w:rPr>
                        <w:rStyle w:val="Hyperlink"/>
                      </w:rPr>
                      <w:t>Giang</w:t>
                    </w:r>
                    <w:proofErr w:type="spellEnd"/>
                    <w:r>
                      <w:rPr>
                        <w:rStyle w:val="Hyperlink"/>
                      </w:rPr>
                      <w:t xml:space="preserve"> province, Vietnam.</w:t>
                    </w:r>
                  </w:hyperlink>
                </w:p>
                <w:p w:rsidR="00116AF4" w:rsidRDefault="00116AF4" w:rsidP="00116AF4">
                  <w:pPr>
                    <w:pStyle w:val="NormalWeb"/>
                  </w:pPr>
                  <w:r>
                    <w:t xml:space="preserve">· </w:t>
                  </w:r>
                  <w:hyperlink w:anchor="m_2775912902713410657__Toc522026454" w:history="1">
                    <w:r>
                      <w:rPr>
                        <w:rStyle w:val="Hyperlink"/>
                      </w:rPr>
                      <w:t>Is Green Growth Possible in Vietnam? The Case of Marine Capture Fisheries.</w:t>
                    </w:r>
                  </w:hyperlink>
                </w:p>
                <w:p w:rsidR="00116AF4" w:rsidRDefault="00116AF4" w:rsidP="00116AF4">
                  <w:pPr>
                    <w:pStyle w:val="NormalWeb"/>
                  </w:pPr>
                  <w:r>
                    <w:t xml:space="preserve">· </w:t>
                  </w:r>
                  <w:hyperlink w:anchor="m_2775912902713410657__Toc522026455" w:history="1">
                    <w:r>
                      <w:rPr>
                        <w:rStyle w:val="Hyperlink"/>
                      </w:rPr>
                      <w:t>An assessment of UN- REDD in Lam Dong Province, Vietnam.</w:t>
                    </w:r>
                  </w:hyperlink>
                </w:p>
                <w:p w:rsidR="00116AF4" w:rsidRDefault="00116AF4" w:rsidP="00116AF4">
                  <w:pPr>
                    <w:pStyle w:val="NormalWeb"/>
                  </w:pPr>
                  <w:r>
                    <w:t xml:space="preserve">· </w:t>
                  </w:r>
                  <w:hyperlink w:anchor="m_2775912902713410657__Toc522026456" w:history="1">
                    <w:r>
                      <w:rPr>
                        <w:rStyle w:val="Hyperlink"/>
                      </w:rPr>
                      <w:t>Forestland and rural household livelihoods in the North Central Provinces, Vietnam.</w:t>
                    </w:r>
                  </w:hyperlink>
                </w:p>
                <w:p w:rsidR="00116AF4" w:rsidRDefault="00116AF4" w:rsidP="00116AF4">
                  <w:pPr>
                    <w:pStyle w:val="NormalWeb"/>
                  </w:pPr>
                  <w:r>
                    <w:t xml:space="preserve">· </w:t>
                  </w:r>
                  <w:hyperlink w:anchor="m_2775912902713410657__Toc522026457" w:history="1">
                    <w:r>
                      <w:rPr>
                        <w:rStyle w:val="Hyperlink"/>
                      </w:rPr>
                      <w:t>Payment for forest environmental services in Vietnam: An analysis of buyers’ perspectives and willingness.</w:t>
                    </w:r>
                  </w:hyperlink>
                </w:p>
                <w:p w:rsidR="00116AF4" w:rsidRDefault="00116AF4" w:rsidP="00116AF4">
                  <w:pPr>
                    <w:pStyle w:val="NormalWeb"/>
                  </w:pPr>
                  <w:r>
                    <w:t xml:space="preserve">· </w:t>
                  </w:r>
                  <w:hyperlink w:anchor="m_2775912902713410657__Toc522026458" w:history="1">
                    <w:r>
                      <w:rPr>
                        <w:rStyle w:val="Hyperlink"/>
                      </w:rPr>
                      <w:t xml:space="preserve">The impact of agricultural land use transition on income of households in Viet </w:t>
                    </w:r>
                    <w:proofErr w:type="spellStart"/>
                    <w:r>
                      <w:rPr>
                        <w:rStyle w:val="Hyperlink"/>
                      </w:rPr>
                      <w:t>Tri's</w:t>
                    </w:r>
                    <w:proofErr w:type="spellEnd"/>
                    <w:r>
                      <w:rPr>
                        <w:rStyle w:val="Hyperlink"/>
                      </w:rPr>
                      <w:t xml:space="preserve"> </w:t>
                    </w:r>
                    <w:proofErr w:type="spellStart"/>
                    <w:r>
                      <w:rPr>
                        <w:rStyle w:val="Hyperlink"/>
                      </w:rPr>
                      <w:t>peri</w:t>
                    </w:r>
                    <w:proofErr w:type="spellEnd"/>
                    <w:r>
                      <w:rPr>
                        <w:rStyle w:val="Hyperlink"/>
                      </w:rPr>
                      <w:t>-urban areas, Vietnam.</w:t>
                    </w:r>
                  </w:hyperlink>
                </w:p>
                <w:p w:rsidR="00116AF4" w:rsidRDefault="00116AF4" w:rsidP="00116AF4">
                  <w:pPr>
                    <w:pStyle w:val="NormalWeb"/>
                  </w:pPr>
                  <w:r>
                    <w:t xml:space="preserve">· </w:t>
                  </w:r>
                  <w:hyperlink w:anchor="m_2775912902713410657__Toc522026459" w:history="1">
                    <w:proofErr w:type="spellStart"/>
                    <w:r>
                      <w:rPr>
                        <w:rStyle w:val="Hyperlink"/>
                      </w:rPr>
                      <w:t>Tenurial</w:t>
                    </w:r>
                    <w:proofErr w:type="spellEnd"/>
                    <w:r>
                      <w:rPr>
                        <w:rStyle w:val="Hyperlink"/>
                      </w:rPr>
                      <w:t xml:space="preserve"> security and agricultural investment: Evidence from Viet Nam.</w:t>
                    </w:r>
                  </w:hyperlink>
                </w:p>
                <w:p w:rsidR="00116AF4" w:rsidRDefault="00116AF4" w:rsidP="00116AF4">
                  <w:pPr>
                    <w:pStyle w:val="NormalWeb"/>
                  </w:pPr>
                  <w:r>
                    <w:t xml:space="preserve">· </w:t>
                  </w:r>
                  <w:hyperlink w:anchor="m_2775912902713410657__Toc522026460" w:history="1">
                    <w:r>
                      <w:rPr>
                        <w:rStyle w:val="Hyperlink"/>
                      </w:rPr>
                      <w:t>Development of Rice Promising Lines Using Genomic Technology and Information in Vietnam.</w:t>
                    </w:r>
                  </w:hyperlink>
                </w:p>
                <w:p w:rsidR="00116AF4" w:rsidRDefault="00116AF4" w:rsidP="00116AF4">
                  <w:pPr>
                    <w:pStyle w:val="NormalWeb"/>
                  </w:pPr>
                  <w:hyperlink w:anchor="m_2775912902713410657__Toc522026461" w:history="1">
                    <w:r>
                      <w:rPr>
                        <w:rStyle w:val="Hyperlink"/>
                      </w:rPr>
                      <w:t>ECONOMIC DEVELOPMENT</w:t>
                    </w:r>
                  </w:hyperlink>
                </w:p>
                <w:p w:rsidR="00116AF4" w:rsidRDefault="00116AF4" w:rsidP="00116AF4">
                  <w:pPr>
                    <w:pStyle w:val="NormalWeb"/>
                  </w:pPr>
                  <w:r>
                    <w:t xml:space="preserve">· </w:t>
                  </w:r>
                  <w:hyperlink w:anchor="m_2775912902713410657__Toc522026462" w:history="1">
                    <w:r>
                      <w:rPr>
                        <w:rStyle w:val="Hyperlink"/>
                      </w:rPr>
                      <w:t xml:space="preserve">Advancing digital financial inclusion in </w:t>
                    </w:r>
                    <w:proofErr w:type="gramStart"/>
                    <w:r>
                      <w:rPr>
                        <w:rStyle w:val="Hyperlink"/>
                      </w:rPr>
                      <w:t>ASEAN :</w:t>
                    </w:r>
                    <w:proofErr w:type="gramEnd"/>
                    <w:r>
                      <w:rPr>
                        <w:rStyle w:val="Hyperlink"/>
                      </w:rPr>
                      <w:t xml:space="preserve"> policy and regulatory enablers.</w:t>
                    </w:r>
                  </w:hyperlink>
                </w:p>
                <w:p w:rsidR="00116AF4" w:rsidRDefault="00116AF4" w:rsidP="00116AF4">
                  <w:pPr>
                    <w:pStyle w:val="NormalWeb"/>
                  </w:pPr>
                  <w:r>
                    <w:t xml:space="preserve">· </w:t>
                  </w:r>
                  <w:hyperlink w:anchor="m_2775912902713410657__Toc522026463" w:history="1">
                    <w:r>
                      <w:rPr>
                        <w:rStyle w:val="Hyperlink"/>
                      </w:rPr>
                      <w:t>International Remittances and Poverty Reduction: Evidence from Asian Developing Countries.</w:t>
                    </w:r>
                  </w:hyperlink>
                </w:p>
                <w:p w:rsidR="00116AF4" w:rsidRDefault="00116AF4" w:rsidP="00116AF4">
                  <w:pPr>
                    <w:pStyle w:val="NormalWeb"/>
                  </w:pPr>
                  <w:r>
                    <w:t xml:space="preserve">· </w:t>
                  </w:r>
                  <w:hyperlink w:anchor="m_2775912902713410657__Toc522026464" w:history="1">
                    <w:r>
                      <w:rPr>
                        <w:rStyle w:val="Hyperlink"/>
                      </w:rPr>
                      <w:t>On sustainability and its perceptions: Presenting the results of the first national survey on Sustainable Development Goals and its understanding by Vietnamese youth.</w:t>
                    </w:r>
                  </w:hyperlink>
                </w:p>
                <w:p w:rsidR="00116AF4" w:rsidRDefault="00116AF4" w:rsidP="00116AF4">
                  <w:pPr>
                    <w:pStyle w:val="NormalWeb"/>
                  </w:pPr>
                  <w:r>
                    <w:t xml:space="preserve">· </w:t>
                  </w:r>
                  <w:hyperlink w:anchor="m_2775912902713410657__Toc522026465" w:history="1">
                    <w:r>
                      <w:rPr>
                        <w:rStyle w:val="Hyperlink"/>
                      </w:rPr>
                      <w:t>Ownership and Planning Capacity in the Asian-Style Development Cooperation: South Korean Knowledge Sharing Program to Vietnam.</w:t>
                    </w:r>
                  </w:hyperlink>
                </w:p>
                <w:p w:rsidR="00116AF4" w:rsidRDefault="00116AF4" w:rsidP="00116AF4">
                  <w:pPr>
                    <w:pStyle w:val="NormalWeb"/>
                  </w:pPr>
                  <w:r>
                    <w:t xml:space="preserve">· </w:t>
                  </w:r>
                  <w:hyperlink w:anchor="m_2775912902713410657__Toc522026466" w:history="1">
                    <w:r>
                      <w:rPr>
                        <w:rStyle w:val="Hyperlink"/>
                      </w:rPr>
                      <w:t xml:space="preserve">Using Solow and I–O models to determine the factors impacting economic growth in Ho </w:t>
                    </w:r>
                    <w:r>
                      <w:rPr>
                        <w:rStyle w:val="Hyperlink"/>
                      </w:rPr>
                      <w:lastRenderedPageBreak/>
                      <w:t>Chi Minh City, Vietnam.</w:t>
                    </w:r>
                  </w:hyperlink>
                </w:p>
                <w:p w:rsidR="00116AF4" w:rsidRDefault="00116AF4" w:rsidP="00116AF4">
                  <w:pPr>
                    <w:pStyle w:val="NormalWeb"/>
                  </w:pPr>
                  <w:r>
                    <w:t xml:space="preserve">· </w:t>
                  </w:r>
                  <w:hyperlink w:anchor="m_2775912902713410657__Toc522026467" w:history="1">
                    <w:r>
                      <w:rPr>
                        <w:rStyle w:val="Hyperlink"/>
                      </w:rPr>
                      <w:t>Are politically connected firms less constrained in credit markets?</w:t>
                    </w:r>
                  </w:hyperlink>
                </w:p>
                <w:p w:rsidR="00116AF4" w:rsidRDefault="00116AF4" w:rsidP="00116AF4">
                  <w:pPr>
                    <w:pStyle w:val="NormalWeb"/>
                  </w:pPr>
                  <w:r>
                    <w:t xml:space="preserve">· </w:t>
                  </w:r>
                  <w:hyperlink w:anchor="m_2775912902713410657__Toc522026468" w:history="1">
                    <w:r>
                      <w:rPr>
                        <w:rStyle w:val="Hyperlink"/>
                      </w:rPr>
                      <w:t>Capital allocation, credit access, and firm growth in Viet Nam.</w:t>
                    </w:r>
                  </w:hyperlink>
                </w:p>
                <w:p w:rsidR="00116AF4" w:rsidRDefault="00116AF4" w:rsidP="00116AF4">
                  <w:pPr>
                    <w:pStyle w:val="NormalWeb"/>
                  </w:pPr>
                  <w:r>
                    <w:t xml:space="preserve">· </w:t>
                  </w:r>
                  <w:hyperlink w:anchor="m_2775912902713410657__Toc522026469" w:history="1">
                    <w:r>
                      <w:rPr>
                        <w:rStyle w:val="Hyperlink"/>
                      </w:rPr>
                      <w:t>The exporting and subcontracting decisions of Viet Nam's small- and medium-sized enterprises.</w:t>
                    </w:r>
                  </w:hyperlink>
                </w:p>
                <w:p w:rsidR="00116AF4" w:rsidRDefault="00116AF4" w:rsidP="00116AF4">
                  <w:pPr>
                    <w:pStyle w:val="NormalWeb"/>
                  </w:pPr>
                  <w:r>
                    <w:t xml:space="preserve">· </w:t>
                  </w:r>
                  <w:hyperlink w:anchor="m_2775912902713410657__Toc522026470" w:history="1">
                    <w:r>
                      <w:rPr>
                        <w:rStyle w:val="Hyperlink"/>
                      </w:rPr>
                      <w:t>How important are management practices for the productivity of small and medium enterprises?</w:t>
                    </w:r>
                  </w:hyperlink>
                </w:p>
                <w:p w:rsidR="00116AF4" w:rsidRDefault="00116AF4" w:rsidP="00116AF4">
                  <w:pPr>
                    <w:pStyle w:val="NormalWeb"/>
                  </w:pPr>
                  <w:r>
                    <w:t xml:space="preserve">· </w:t>
                  </w:r>
                  <w:hyperlink w:anchor="m_2775912902713410657__Toc522026471" w:history="1">
                    <w:r>
                      <w:rPr>
                        <w:rStyle w:val="Hyperlink"/>
                      </w:rPr>
                      <w:t>The interaction of institutional quality and human capital in shaping the dynamics of capital structure in Viet Nam.</w:t>
                    </w:r>
                  </w:hyperlink>
                </w:p>
                <w:p w:rsidR="00116AF4" w:rsidRDefault="00116AF4" w:rsidP="00116AF4">
                  <w:pPr>
                    <w:pStyle w:val="NormalWeb"/>
                  </w:pPr>
                  <w:r>
                    <w:t xml:space="preserve">· </w:t>
                  </w:r>
                  <w:hyperlink w:anchor="m_2775912902713410657__Toc522026472" w:history="1">
                    <w:r>
                      <w:rPr>
                        <w:rStyle w:val="Hyperlink"/>
                      </w:rPr>
                      <w:t>Resource misallocation of SMEs in Vietnamese manufacturing sector.</w:t>
                    </w:r>
                  </w:hyperlink>
                </w:p>
                <w:p w:rsidR="00116AF4" w:rsidRDefault="00116AF4" w:rsidP="00116AF4">
                  <w:pPr>
                    <w:pStyle w:val="NormalWeb"/>
                  </w:pPr>
                  <w:r>
                    <w:t xml:space="preserve">· </w:t>
                  </w:r>
                  <w:hyperlink w:anchor="m_2775912902713410657__Toc522026473" w:history="1">
                    <w:r>
                      <w:rPr>
                        <w:rStyle w:val="Hyperlink"/>
                      </w:rPr>
                      <w:t>Why do household businesses in Viet Nam stay informal?</w:t>
                    </w:r>
                  </w:hyperlink>
                </w:p>
                <w:p w:rsidR="00116AF4" w:rsidRDefault="00116AF4" w:rsidP="00116AF4">
                  <w:pPr>
                    <w:pStyle w:val="NormalWeb"/>
                  </w:pPr>
                  <w:r>
                    <w:t xml:space="preserve">· </w:t>
                  </w:r>
                  <w:hyperlink w:anchor="m_2775912902713410657__Toc522026474" w:history="1">
                    <w:r>
                      <w:rPr>
                        <w:rStyle w:val="Hyperlink"/>
                      </w:rPr>
                      <w:t>The Cambodia-Laos-Vietnam Development Triangle Area.</w:t>
                    </w:r>
                  </w:hyperlink>
                </w:p>
                <w:p w:rsidR="00116AF4" w:rsidRDefault="00116AF4" w:rsidP="00116AF4">
                  <w:pPr>
                    <w:pStyle w:val="NormalWeb"/>
                  </w:pPr>
                  <w:r>
                    <w:t xml:space="preserve">· </w:t>
                  </w:r>
                  <w:hyperlink w:anchor="m_2775912902713410657__Toc522026475" w:history="1">
                    <w:r>
                      <w:rPr>
                        <w:rStyle w:val="Hyperlink"/>
                      </w:rPr>
                      <w:t xml:space="preserve">Implementation of the WTO Agreement on Customs Valuation in </w:t>
                    </w:r>
                    <w:proofErr w:type="gramStart"/>
                    <w:r>
                      <w:rPr>
                        <w:rStyle w:val="Hyperlink"/>
                      </w:rPr>
                      <w:t>Vietnam :</w:t>
                    </w:r>
                    <w:proofErr w:type="gramEnd"/>
                    <w:r>
                      <w:rPr>
                        <w:rStyle w:val="Hyperlink"/>
                      </w:rPr>
                      <w:t xml:space="preserve"> Trade Integration and Local Compliance at Da Nang Port.</w:t>
                    </w:r>
                  </w:hyperlink>
                </w:p>
                <w:p w:rsidR="00116AF4" w:rsidRDefault="00116AF4" w:rsidP="00116AF4">
                  <w:pPr>
                    <w:pStyle w:val="NormalWeb"/>
                  </w:pPr>
                  <w:hyperlink w:anchor="m_2775912902713410657__Toc522026476" w:history="1">
                    <w:r>
                      <w:rPr>
                        <w:rStyle w:val="Hyperlink"/>
                      </w:rPr>
                      <w:t>EDUCATION</w:t>
                    </w:r>
                  </w:hyperlink>
                </w:p>
                <w:p w:rsidR="00116AF4" w:rsidRDefault="00116AF4" w:rsidP="00116AF4">
                  <w:pPr>
                    <w:pStyle w:val="NormalWeb"/>
                  </w:pPr>
                  <w:r>
                    <w:t xml:space="preserve">· </w:t>
                  </w:r>
                  <w:hyperlink w:anchor="m_2775912902713410657__Toc522026477" w:history="1">
                    <w:r>
                      <w:rPr>
                        <w:rStyle w:val="Hyperlink"/>
                      </w:rPr>
                      <w:t xml:space="preserve">Challenges of </w:t>
                    </w:r>
                    <w:proofErr w:type="spellStart"/>
                    <w:r>
                      <w:rPr>
                        <w:rStyle w:val="Hyperlink"/>
                      </w:rPr>
                      <w:t>Massification</w:t>
                    </w:r>
                    <w:proofErr w:type="spellEnd"/>
                    <w:r>
                      <w:rPr>
                        <w:rStyle w:val="Hyperlink"/>
                      </w:rPr>
                      <w:t xml:space="preserve"> in Higher Education: The Case of Vietnam.</w:t>
                    </w:r>
                  </w:hyperlink>
                </w:p>
                <w:p w:rsidR="00116AF4" w:rsidRDefault="00116AF4" w:rsidP="00116AF4">
                  <w:pPr>
                    <w:pStyle w:val="NormalWeb"/>
                  </w:pPr>
                  <w:r>
                    <w:t xml:space="preserve">· </w:t>
                  </w:r>
                  <w:hyperlink w:anchor="m_2775912902713410657__Toc522026478" w:history="1">
                    <w:r>
                      <w:rPr>
                        <w:rStyle w:val="Hyperlink"/>
                      </w:rPr>
                      <w:t>Game of blames: Higher education stakeholders’ perceptions of causes of Vietnamese graduates’ skills gap.</w:t>
                    </w:r>
                  </w:hyperlink>
                </w:p>
                <w:p w:rsidR="00116AF4" w:rsidRDefault="00116AF4" w:rsidP="00116AF4">
                  <w:pPr>
                    <w:pStyle w:val="NormalWeb"/>
                  </w:pPr>
                  <w:r>
                    <w:t xml:space="preserve">· </w:t>
                  </w:r>
                  <w:hyperlink w:anchor="m_2775912902713410657__Toc522026479" w:history="1">
                    <w:r>
                      <w:rPr>
                        <w:rStyle w:val="Hyperlink"/>
                      </w:rPr>
                      <w:t>Impacts of higher education quality accreditation: a case study in Vietnam.</w:t>
                    </w:r>
                  </w:hyperlink>
                </w:p>
                <w:p w:rsidR="00116AF4" w:rsidRDefault="00116AF4" w:rsidP="00116AF4">
                  <w:pPr>
                    <w:pStyle w:val="NormalWeb"/>
                  </w:pPr>
                  <w:r>
                    <w:t xml:space="preserve">· </w:t>
                  </w:r>
                  <w:hyperlink w:anchor="m_2775912902713410657__Toc522026480" w:history="1">
                    <w:r>
                      <w:rPr>
                        <w:rStyle w:val="Hyperlink"/>
                      </w:rPr>
                      <w:t xml:space="preserve">Another textbook project? The implementation of </w:t>
                    </w:r>
                    <w:proofErr w:type="spellStart"/>
                    <w:r>
                      <w:rPr>
                        <w:rStyle w:val="Hyperlink"/>
                      </w:rPr>
                      <w:t>Escuela</w:t>
                    </w:r>
                    <w:proofErr w:type="spellEnd"/>
                    <w:r>
                      <w:rPr>
                        <w:rStyle w:val="Hyperlink"/>
                      </w:rPr>
                      <w:t xml:space="preserve"> Nueva in Vietnam.</w:t>
                    </w:r>
                  </w:hyperlink>
                </w:p>
                <w:p w:rsidR="00116AF4" w:rsidRDefault="00116AF4" w:rsidP="00116AF4">
                  <w:pPr>
                    <w:pStyle w:val="NormalWeb"/>
                  </w:pPr>
                  <w:hyperlink w:anchor="m_2775912902713410657__Toc522026481" w:history="1">
                    <w:r>
                      <w:rPr>
                        <w:rStyle w:val="Hyperlink"/>
                      </w:rPr>
                      <w:t>ENVIRONMENT</w:t>
                    </w:r>
                  </w:hyperlink>
                </w:p>
                <w:p w:rsidR="00116AF4" w:rsidRDefault="00116AF4" w:rsidP="00116AF4">
                  <w:pPr>
                    <w:pStyle w:val="NormalWeb"/>
                  </w:pPr>
                  <w:r>
                    <w:t xml:space="preserve">· </w:t>
                  </w:r>
                  <w:hyperlink w:anchor="m_2775912902713410657__Toc522026482" w:history="1">
                    <w:r>
                      <w:rPr>
                        <w:rStyle w:val="Hyperlink"/>
                      </w:rPr>
                      <w:t>Red lists in conservation science-policy interfaces: A case study from Vietnam.</w:t>
                    </w:r>
                  </w:hyperlink>
                </w:p>
                <w:p w:rsidR="00116AF4" w:rsidRDefault="00116AF4" w:rsidP="00116AF4">
                  <w:pPr>
                    <w:pStyle w:val="NormalWeb"/>
                  </w:pPr>
                  <w:r>
                    <w:t xml:space="preserve">· </w:t>
                  </w:r>
                  <w:hyperlink w:anchor="m_2775912902713410657__Toc522026483" w:history="1">
                    <w:r>
                      <w:rPr>
                        <w:rStyle w:val="Hyperlink"/>
                      </w:rPr>
                      <w:t xml:space="preserve">The role of sedimentation and natural compaction in a </w:t>
                    </w:r>
                    <w:proofErr w:type="spellStart"/>
                    <w:r>
                      <w:rPr>
                        <w:rStyle w:val="Hyperlink"/>
                      </w:rPr>
                      <w:t>prograding</w:t>
                    </w:r>
                    <w:proofErr w:type="spellEnd"/>
                    <w:r>
                      <w:rPr>
                        <w:rStyle w:val="Hyperlink"/>
                      </w:rPr>
                      <w:t xml:space="preserve"> delta: insights from the mega Mekong delta, Vietnam.</w:t>
                    </w:r>
                  </w:hyperlink>
                </w:p>
                <w:p w:rsidR="00116AF4" w:rsidRDefault="00116AF4" w:rsidP="00116AF4">
                  <w:pPr>
                    <w:pStyle w:val="NormalWeb"/>
                  </w:pPr>
                  <w:r>
                    <w:t xml:space="preserve">· </w:t>
                  </w:r>
                  <w:hyperlink w:anchor="m_2775912902713410657__Toc522026484" w:history="1">
                    <w:r>
                      <w:rPr>
                        <w:rStyle w:val="Hyperlink"/>
                      </w:rPr>
                      <w:t>Characteristics and development of policy and institutional structures of emergency response in Vietnam.</w:t>
                    </w:r>
                  </w:hyperlink>
                </w:p>
                <w:p w:rsidR="00116AF4" w:rsidRDefault="00116AF4" w:rsidP="00116AF4">
                  <w:pPr>
                    <w:pStyle w:val="NormalWeb"/>
                  </w:pPr>
                  <w:r>
                    <w:lastRenderedPageBreak/>
                    <w:t xml:space="preserve">· </w:t>
                  </w:r>
                  <w:hyperlink w:anchor="m_2775912902713410657__Toc522026485" w:history="1">
                    <w:r>
                      <w:rPr>
                        <w:rStyle w:val="Hyperlink"/>
                      </w:rPr>
                      <w:t xml:space="preserve">Integrated approach to </w:t>
                    </w:r>
                    <w:proofErr w:type="spellStart"/>
                    <w:r>
                      <w:rPr>
                        <w:rStyle w:val="Hyperlink"/>
                      </w:rPr>
                      <w:t>analyse</w:t>
                    </w:r>
                    <w:proofErr w:type="spellEnd"/>
                    <w:r>
                      <w:rPr>
                        <w:rStyle w:val="Hyperlink"/>
                      </w:rPr>
                      <w:t xml:space="preserve"> the total flood risk for agriculture: the significance of intangible damages – A case study in Central Vietnam.</w:t>
                    </w:r>
                  </w:hyperlink>
                </w:p>
                <w:p w:rsidR="00116AF4" w:rsidRDefault="00116AF4" w:rsidP="00116AF4">
                  <w:pPr>
                    <w:pStyle w:val="NormalWeb"/>
                  </w:pPr>
                  <w:r>
                    <w:t xml:space="preserve">· </w:t>
                  </w:r>
                  <w:hyperlink w:anchor="m_2775912902713410657__Toc522026486" w:history="1">
                    <w:r>
                      <w:rPr>
                        <w:rStyle w:val="Hyperlink"/>
                      </w:rPr>
                      <w:t xml:space="preserve">Modelling and mapping natural hazard regulating ecosystem services in </w:t>
                    </w:r>
                    <w:proofErr w:type="spellStart"/>
                    <w:r>
                      <w:rPr>
                        <w:rStyle w:val="Hyperlink"/>
                      </w:rPr>
                      <w:t>Sapa</w:t>
                    </w:r>
                    <w:proofErr w:type="spellEnd"/>
                    <w:r>
                      <w:rPr>
                        <w:rStyle w:val="Hyperlink"/>
                      </w:rPr>
                      <w:t xml:space="preserve">, Lao </w:t>
                    </w:r>
                    <w:proofErr w:type="spellStart"/>
                    <w:r>
                      <w:rPr>
                        <w:rStyle w:val="Hyperlink"/>
                      </w:rPr>
                      <w:t>Cai</w:t>
                    </w:r>
                    <w:proofErr w:type="spellEnd"/>
                    <w:r>
                      <w:rPr>
                        <w:rStyle w:val="Hyperlink"/>
                      </w:rPr>
                      <w:t xml:space="preserve"> province, Vietnam.</w:t>
                    </w:r>
                  </w:hyperlink>
                </w:p>
                <w:p w:rsidR="00116AF4" w:rsidRDefault="00116AF4" w:rsidP="00116AF4">
                  <w:pPr>
                    <w:pStyle w:val="NormalWeb"/>
                  </w:pPr>
                  <w:r>
                    <w:t xml:space="preserve">· </w:t>
                  </w:r>
                  <w:hyperlink w:anchor="m_2775912902713410657__Toc522026487" w:history="1">
                    <w:r>
                      <w:rPr>
                        <w:rStyle w:val="Hyperlink"/>
                      </w:rPr>
                      <w:t>Occurrence of antibiotic residues and antibiotic-resistant bacteria in effluents of pharmaceutical manufacturers and other sources around Hanoi, Vietnam.</w:t>
                    </w:r>
                  </w:hyperlink>
                </w:p>
                <w:p w:rsidR="00116AF4" w:rsidRDefault="00116AF4" w:rsidP="00116AF4">
                  <w:pPr>
                    <w:pStyle w:val="NormalWeb"/>
                  </w:pPr>
                  <w:r>
                    <w:t xml:space="preserve">· </w:t>
                  </w:r>
                  <w:hyperlink w:anchor="m_2775912902713410657__Toc522026488" w:history="1">
                    <w:r>
                      <w:rPr>
                        <w:rStyle w:val="Hyperlink"/>
                      </w:rPr>
                      <w:t xml:space="preserve">Origins and discrimination between local and regional atmospheric pollution in Haiphong (Vietnam), based on </w:t>
                    </w:r>
                    <w:proofErr w:type="gramStart"/>
                    <w:r>
                      <w:rPr>
                        <w:rStyle w:val="Hyperlink"/>
                      </w:rPr>
                      <w:t>metal(</w:t>
                    </w:r>
                    <w:proofErr w:type="gramEnd"/>
                    <w:r>
                      <w:rPr>
                        <w:rStyle w:val="Hyperlink"/>
                      </w:rPr>
                      <w:t>loid) concentrations and lead isotopic ratios in PM10.</w:t>
                    </w:r>
                  </w:hyperlink>
                </w:p>
                <w:p w:rsidR="00116AF4" w:rsidRDefault="00116AF4" w:rsidP="00116AF4">
                  <w:pPr>
                    <w:pStyle w:val="NormalWeb"/>
                  </w:pPr>
                  <w:hyperlink w:anchor="m_2775912902713410657__Toc522026489" w:history="1">
                    <w:r>
                      <w:rPr>
                        <w:rStyle w:val="Hyperlink"/>
                      </w:rPr>
                      <w:t>GENDER</w:t>
                    </w:r>
                  </w:hyperlink>
                </w:p>
                <w:p w:rsidR="00116AF4" w:rsidRDefault="00116AF4" w:rsidP="00116AF4">
                  <w:pPr>
                    <w:pStyle w:val="NormalWeb"/>
                  </w:pPr>
                  <w:r>
                    <w:t xml:space="preserve">· </w:t>
                  </w:r>
                  <w:hyperlink w:anchor="m_2775912902713410657__Toc522026490" w:history="1">
                    <w:r>
                      <w:rPr>
                        <w:rStyle w:val="Hyperlink"/>
                      </w:rPr>
                      <w:t>Female Autocrats As Role Models? The Effect of Female Leaders on Political Knowledge and Engagement in Vietnam.</w:t>
                    </w:r>
                  </w:hyperlink>
                </w:p>
                <w:p w:rsidR="00116AF4" w:rsidRDefault="00116AF4" w:rsidP="00116AF4">
                  <w:pPr>
                    <w:pStyle w:val="NormalWeb"/>
                  </w:pPr>
                  <w:r>
                    <w:t xml:space="preserve">· </w:t>
                  </w:r>
                  <w:hyperlink w:anchor="m_2775912902713410657__Toc522026491" w:history="1">
                    <w:r>
                      <w:rPr>
                        <w:rStyle w:val="Hyperlink"/>
                      </w:rPr>
                      <w:t>A “Wife’s Duty” and Social Suffering: Sexual Assault in Marital Relationships in Vietnam.</w:t>
                    </w:r>
                  </w:hyperlink>
                </w:p>
                <w:p w:rsidR="00116AF4" w:rsidRDefault="00116AF4" w:rsidP="00116AF4">
                  <w:pPr>
                    <w:pStyle w:val="NormalWeb"/>
                  </w:pPr>
                  <w:hyperlink w:anchor="m_2775912902713410657__Toc522026492" w:history="1">
                    <w:r>
                      <w:rPr>
                        <w:rStyle w:val="Hyperlink"/>
                      </w:rPr>
                      <w:t>GOVERNANCE</w:t>
                    </w:r>
                  </w:hyperlink>
                </w:p>
                <w:p w:rsidR="00116AF4" w:rsidRDefault="00116AF4" w:rsidP="00116AF4">
                  <w:pPr>
                    <w:pStyle w:val="NormalWeb"/>
                  </w:pPr>
                  <w:r>
                    <w:t xml:space="preserve">· </w:t>
                  </w:r>
                  <w:hyperlink w:anchor="m_2775912902713410657__Toc522026493" w:history="1">
                    <w:r>
                      <w:rPr>
                        <w:rStyle w:val="Hyperlink"/>
                      </w:rPr>
                      <w:t>Activist PR in Vietnam: Public participation via Facebook to save 6,700 trees.</w:t>
                    </w:r>
                  </w:hyperlink>
                </w:p>
                <w:p w:rsidR="00116AF4" w:rsidRDefault="00116AF4" w:rsidP="00116AF4">
                  <w:pPr>
                    <w:pStyle w:val="NormalWeb"/>
                  </w:pPr>
                  <w:r>
                    <w:t xml:space="preserve">· </w:t>
                  </w:r>
                  <w:hyperlink w:anchor="m_2775912902713410657__Toc522026494" w:history="1">
                    <w:r>
                      <w:rPr>
                        <w:rStyle w:val="Hyperlink"/>
                      </w:rPr>
                      <w:t>Corruption practices in drug prescribing in Vietnam - an analysis based on qualitative interviews.</w:t>
                    </w:r>
                  </w:hyperlink>
                </w:p>
                <w:p w:rsidR="00116AF4" w:rsidRDefault="00116AF4" w:rsidP="00116AF4">
                  <w:pPr>
                    <w:pStyle w:val="NormalWeb"/>
                  </w:pPr>
                  <w:hyperlink w:anchor="m_2775912902713410657__Toc522026495" w:history="1">
                    <w:r>
                      <w:rPr>
                        <w:rStyle w:val="Hyperlink"/>
                      </w:rPr>
                      <w:t>HEALTCH CARE</w:t>
                    </w:r>
                  </w:hyperlink>
                </w:p>
                <w:p w:rsidR="00116AF4" w:rsidRDefault="00116AF4" w:rsidP="00116AF4">
                  <w:pPr>
                    <w:pStyle w:val="NormalWeb"/>
                  </w:pPr>
                  <w:r>
                    <w:t xml:space="preserve">· </w:t>
                  </w:r>
                  <w:hyperlink w:anchor="m_2775912902713410657__Toc522026496" w:history="1">
                    <w:r>
                      <w:rPr>
                        <w:rStyle w:val="Hyperlink"/>
                      </w:rPr>
                      <w:t>Medical Services for a Provincial Hospital in Vietnam: Cost Analysis for Data Management.</w:t>
                    </w:r>
                  </w:hyperlink>
                </w:p>
                <w:p w:rsidR="00116AF4" w:rsidRDefault="00116AF4" w:rsidP="00116AF4">
                  <w:pPr>
                    <w:pStyle w:val="NormalWeb"/>
                  </w:pPr>
                  <w:r>
                    <w:t xml:space="preserve">· </w:t>
                  </w:r>
                  <w:hyperlink w:anchor="m_2775912902713410657__Toc522026497" w:history="1">
                    <w:r>
                      <w:rPr>
                        <w:rStyle w:val="Hyperlink"/>
                      </w:rPr>
                      <w:t>The need for improving access to emergency care through community involvement in low- and middle-income countries: A case study of cardiac arrest in Hanoi, Vietnam.</w:t>
                    </w:r>
                  </w:hyperlink>
                </w:p>
                <w:p w:rsidR="00116AF4" w:rsidRDefault="00116AF4" w:rsidP="00116AF4">
                  <w:pPr>
                    <w:pStyle w:val="NormalWeb"/>
                  </w:pPr>
                  <w:r>
                    <w:t xml:space="preserve">· </w:t>
                  </w:r>
                  <w:hyperlink w:anchor="m_2775912902713410657__Toc522026498" w:history="1">
                    <w:r>
                      <w:rPr>
                        <w:rStyle w:val="Hyperlink"/>
                      </w:rPr>
                      <w:t>Climate Variability and Dengue Hemorrhagic Fever in Hanoi, Viet Nam, During 2008 to 2015.</w:t>
                    </w:r>
                  </w:hyperlink>
                </w:p>
                <w:p w:rsidR="00116AF4" w:rsidRDefault="00116AF4" w:rsidP="00116AF4">
                  <w:pPr>
                    <w:pStyle w:val="NormalWeb"/>
                  </w:pPr>
                  <w:r>
                    <w:t xml:space="preserve">· </w:t>
                  </w:r>
                  <w:hyperlink w:anchor="m_2775912902713410657__Toc522026499" w:history="1">
                    <w:r>
                      <w:rPr>
                        <w:rStyle w:val="Hyperlink"/>
                      </w:rPr>
                      <w:t>The Control of Typhoid Fever in Vietnam.</w:t>
                    </w:r>
                  </w:hyperlink>
                </w:p>
                <w:p w:rsidR="00116AF4" w:rsidRDefault="00116AF4" w:rsidP="00116AF4">
                  <w:pPr>
                    <w:pStyle w:val="NormalWeb"/>
                  </w:pPr>
                  <w:r>
                    <w:t xml:space="preserve">· </w:t>
                  </w:r>
                  <w:hyperlink w:anchor="m_2775912902713410657__Toc522026500" w:history="1">
                    <w:r>
                      <w:rPr>
                        <w:rStyle w:val="Hyperlink"/>
                      </w:rPr>
                      <w:t xml:space="preserve">Human and Simian Malaria in the Greater Mekong </w:t>
                    </w:r>
                    <w:proofErr w:type="spellStart"/>
                    <w:r>
                      <w:rPr>
                        <w:rStyle w:val="Hyperlink"/>
                      </w:rPr>
                      <w:t>Subregion</w:t>
                    </w:r>
                    <w:proofErr w:type="spellEnd"/>
                    <w:r>
                      <w:rPr>
                        <w:rStyle w:val="Hyperlink"/>
                      </w:rPr>
                      <w:t xml:space="preserve"> and Challenges for Elimination.</w:t>
                    </w:r>
                  </w:hyperlink>
                </w:p>
                <w:p w:rsidR="00116AF4" w:rsidRDefault="00116AF4" w:rsidP="00116AF4">
                  <w:pPr>
                    <w:pStyle w:val="NormalWeb"/>
                  </w:pPr>
                  <w:r>
                    <w:t xml:space="preserve">· </w:t>
                  </w:r>
                  <w:hyperlink w:anchor="m_2775912902713410657__Toc522026501" w:history="1">
                    <w:r>
                      <w:rPr>
                        <w:rStyle w:val="Hyperlink"/>
                      </w:rPr>
                      <w:t>An investigation of an outbreak of diphtheria in adolescents and adults in southern Vietnam.</w:t>
                    </w:r>
                  </w:hyperlink>
                </w:p>
                <w:p w:rsidR="00116AF4" w:rsidRDefault="00116AF4" w:rsidP="00116AF4">
                  <w:pPr>
                    <w:pStyle w:val="NormalWeb"/>
                  </w:pPr>
                  <w:r>
                    <w:lastRenderedPageBreak/>
                    <w:t xml:space="preserve">· </w:t>
                  </w:r>
                  <w:hyperlink w:anchor="m_2775912902713410657__Toc522026502" w:history="1">
                    <w:r>
                      <w:rPr>
                        <w:rStyle w:val="Hyperlink"/>
                      </w:rPr>
                      <w:t xml:space="preserve">Malaria Elimination in the Greater Mekong </w:t>
                    </w:r>
                    <w:proofErr w:type="spellStart"/>
                    <w:r>
                      <w:rPr>
                        <w:rStyle w:val="Hyperlink"/>
                      </w:rPr>
                      <w:t>Subregion</w:t>
                    </w:r>
                    <w:proofErr w:type="spellEnd"/>
                    <w:r>
                      <w:rPr>
                        <w:rStyle w:val="Hyperlink"/>
                      </w:rPr>
                      <w:t>: Challenges and Prospects.</w:t>
                    </w:r>
                  </w:hyperlink>
                </w:p>
                <w:p w:rsidR="00116AF4" w:rsidRDefault="00116AF4" w:rsidP="00116AF4">
                  <w:pPr>
                    <w:pStyle w:val="NormalWeb"/>
                  </w:pPr>
                  <w:r>
                    <w:t xml:space="preserve">· </w:t>
                  </w:r>
                  <w:hyperlink w:anchor="m_2775912902713410657__Toc522026503" w:history="1">
                    <w:r>
                      <w:rPr>
                        <w:rStyle w:val="Hyperlink"/>
                      </w:rPr>
                      <w:t xml:space="preserve">A Potential Way to Decrease the Know-Do Gap in Hospital Infection Control in Vietnam: "Providing Specific Figures on Healthcare-Associated Infections to the Hospital Staff Can 'Wake Them Up' to Change Their </w:t>
                    </w:r>
                    <w:proofErr w:type="spellStart"/>
                    <w:r>
                      <w:rPr>
                        <w:rStyle w:val="Hyperlink"/>
                      </w:rPr>
                      <w:t>Behaviour</w:t>
                    </w:r>
                    <w:proofErr w:type="spellEnd"/>
                    <w:r>
                      <w:rPr>
                        <w:rStyle w:val="Hyperlink"/>
                      </w:rPr>
                      <w:t>".</w:t>
                    </w:r>
                  </w:hyperlink>
                </w:p>
                <w:p w:rsidR="00116AF4" w:rsidRDefault="00116AF4" w:rsidP="00116AF4">
                  <w:pPr>
                    <w:pStyle w:val="NormalWeb"/>
                  </w:pPr>
                  <w:r>
                    <w:t xml:space="preserve">· </w:t>
                  </w:r>
                  <w:hyperlink w:anchor="m_2775912902713410657__Toc522026504" w:history="1">
                    <w:r>
                      <w:rPr>
                        <w:rStyle w:val="Hyperlink"/>
                      </w:rPr>
                      <w:t>Customers’ Perceptions of Compliance with a Tobacco Control Law in Restaurants in Hanoi, Vietnam: A Cross-Sectional Study.</w:t>
                    </w:r>
                  </w:hyperlink>
                </w:p>
                <w:p w:rsidR="00116AF4" w:rsidRDefault="00116AF4" w:rsidP="00116AF4">
                  <w:pPr>
                    <w:pStyle w:val="NormalWeb"/>
                  </w:pPr>
                  <w:r>
                    <w:t xml:space="preserve">· </w:t>
                  </w:r>
                  <w:hyperlink w:anchor="m_2775912902713410657__Toc522026505" w:history="1">
                    <w:r>
                      <w:rPr>
                        <w:rStyle w:val="Hyperlink"/>
                      </w:rPr>
                      <w:t xml:space="preserve">Addressing multiple modifiable risks through structured community-based Learning Clubs to improve maternal and infant health and infant development in rural Vietnam: protocol for a parallel group cluster </w:t>
                    </w:r>
                    <w:proofErr w:type="spellStart"/>
                    <w:r>
                      <w:rPr>
                        <w:rStyle w:val="Hyperlink"/>
                      </w:rPr>
                      <w:t>randomised</w:t>
                    </w:r>
                    <w:proofErr w:type="spellEnd"/>
                    <w:r>
                      <w:rPr>
                        <w:rStyle w:val="Hyperlink"/>
                      </w:rPr>
                      <w:t xml:space="preserve"> controlled trial.</w:t>
                    </w:r>
                  </w:hyperlink>
                </w:p>
                <w:p w:rsidR="00116AF4" w:rsidRDefault="00116AF4" w:rsidP="00116AF4">
                  <w:pPr>
                    <w:pStyle w:val="NormalWeb"/>
                  </w:pPr>
                  <w:r>
                    <w:t xml:space="preserve">· </w:t>
                  </w:r>
                  <w:hyperlink w:anchor="m_2775912902713410657__Toc522026506" w:history="1">
                    <w:r>
                      <w:rPr>
                        <w:rStyle w:val="Hyperlink"/>
                      </w:rPr>
                      <w:t>Financial mobilization for antiretroviral therapy program: multi-level predictors of willingness to pay among patients with HIV/AIDS in Vietnam.</w:t>
                    </w:r>
                  </w:hyperlink>
                </w:p>
                <w:p w:rsidR="00116AF4" w:rsidRDefault="00116AF4" w:rsidP="00116AF4">
                  <w:pPr>
                    <w:pStyle w:val="NormalWeb"/>
                  </w:pPr>
                  <w:r>
                    <w:t xml:space="preserve">· </w:t>
                  </w:r>
                  <w:hyperlink w:anchor="m_2775912902713410657__Toc522026507" w:history="1">
                    <w:r>
                      <w:rPr>
                        <w:rStyle w:val="Hyperlink"/>
                      </w:rPr>
                      <w:t>The Social Life of Health Insurance Temporality, Care, and the Politics of Financing Health in Rural Vietnam [PhD thesis].</w:t>
                    </w:r>
                  </w:hyperlink>
                </w:p>
                <w:p w:rsidR="00116AF4" w:rsidRDefault="00116AF4" w:rsidP="00116AF4">
                  <w:pPr>
                    <w:pStyle w:val="NormalWeb"/>
                  </w:pPr>
                  <w:r>
                    <w:t xml:space="preserve">· </w:t>
                  </w:r>
                  <w:hyperlink w:anchor="m_2775912902713410657__Toc522026508" w:history="1">
                    <w:r>
                      <w:rPr>
                        <w:rStyle w:val="Hyperlink"/>
                      </w:rPr>
                      <w:t>Focused Cardiac Ultrasound by Nurses in Rural Vietnam.</w:t>
                    </w:r>
                  </w:hyperlink>
                </w:p>
                <w:p w:rsidR="00116AF4" w:rsidRDefault="00116AF4" w:rsidP="00116AF4">
                  <w:pPr>
                    <w:pStyle w:val="NormalWeb"/>
                  </w:pPr>
                  <w:r>
                    <w:t xml:space="preserve">· </w:t>
                  </w:r>
                  <w:hyperlink w:anchor="m_2775912902713410657__Toc522026509" w:history="1">
                    <w:r>
                      <w:rPr>
                        <w:rStyle w:val="Hyperlink"/>
                      </w:rPr>
                      <w:t>Early life shocks and mental health: The long-term effect of war in Vietnam.</w:t>
                    </w:r>
                  </w:hyperlink>
                </w:p>
                <w:p w:rsidR="00116AF4" w:rsidRDefault="00116AF4" w:rsidP="00116AF4">
                  <w:pPr>
                    <w:pStyle w:val="NormalWeb"/>
                  </w:pPr>
                  <w:r>
                    <w:t xml:space="preserve">· </w:t>
                  </w:r>
                  <w:hyperlink w:anchor="m_2775912902713410657__Toc522026510" w:history="1">
                    <w:r>
                      <w:rPr>
                        <w:rStyle w:val="Hyperlink"/>
                      </w:rPr>
                      <w:t>Mental health in Vietnam and the move to incorporate social work: A mixed methods study of staff perceptions and expectations.</w:t>
                    </w:r>
                  </w:hyperlink>
                </w:p>
                <w:p w:rsidR="00116AF4" w:rsidRDefault="00116AF4" w:rsidP="00116AF4">
                  <w:pPr>
                    <w:pStyle w:val="NormalWeb"/>
                  </w:pPr>
                  <w:r>
                    <w:t xml:space="preserve">· </w:t>
                  </w:r>
                  <w:hyperlink w:anchor="m_2775912902713410657__Toc522026511" w:history="1">
                    <w:r>
                      <w:rPr>
                        <w:rStyle w:val="Hyperlink"/>
                      </w:rPr>
                      <w:t>Mental health literacy and intervention program adaptation in the internationalization of school psychology for Vietnam.</w:t>
                    </w:r>
                  </w:hyperlink>
                </w:p>
                <w:p w:rsidR="00116AF4" w:rsidRDefault="00116AF4" w:rsidP="00116AF4">
                  <w:pPr>
                    <w:pStyle w:val="NormalWeb"/>
                  </w:pPr>
                  <w:r>
                    <w:t xml:space="preserve">· </w:t>
                  </w:r>
                  <w:hyperlink w:anchor="m_2775912902713410657__Toc522026512" w:history="1">
                    <w:r>
                      <w:rPr>
                        <w:rStyle w:val="Hyperlink"/>
                      </w:rPr>
                      <w:t>Perceptions of mental health and mental health services among college students in Vietnam and the United States.</w:t>
                    </w:r>
                  </w:hyperlink>
                </w:p>
                <w:p w:rsidR="00116AF4" w:rsidRDefault="00116AF4" w:rsidP="00116AF4">
                  <w:pPr>
                    <w:pStyle w:val="NormalWeb"/>
                  </w:pPr>
                  <w:r>
                    <w:t xml:space="preserve">· </w:t>
                  </w:r>
                  <w:hyperlink w:anchor="m_2775912902713410657__Toc522026513" w:history="1">
                    <w:r>
                      <w:rPr>
                        <w:rStyle w:val="Hyperlink"/>
                      </w:rPr>
                      <w:t>Impact of maternal nutritional supplementation in conjunction with a breastfeeding support program during the last trimester to 12 weeks postpartum on breastfeeding practices and child development at 30 months old.</w:t>
                    </w:r>
                  </w:hyperlink>
                </w:p>
                <w:p w:rsidR="00116AF4" w:rsidRDefault="00116AF4" w:rsidP="00116AF4">
                  <w:pPr>
                    <w:pStyle w:val="NormalWeb"/>
                  </w:pPr>
                  <w:r>
                    <w:t xml:space="preserve">· </w:t>
                  </w:r>
                  <w:hyperlink w:anchor="m_2775912902713410657__Toc522026514" w:history="1">
                    <w:r>
                      <w:rPr>
                        <w:rStyle w:val="Hyperlink"/>
                      </w:rPr>
                      <w:t>"Three Nooses on Our Head": The Influence of District Health Reforms on Maternal Health Service Delivery in Vietnam.</w:t>
                    </w:r>
                  </w:hyperlink>
                </w:p>
                <w:p w:rsidR="00116AF4" w:rsidRDefault="00116AF4" w:rsidP="00116AF4">
                  <w:pPr>
                    <w:pStyle w:val="NormalWeb"/>
                  </w:pPr>
                  <w:hyperlink w:anchor="m_2775912902713410657__Toc522026515" w:history="1">
                    <w:r>
                      <w:rPr>
                        <w:rStyle w:val="Hyperlink"/>
                      </w:rPr>
                      <w:t>ENERGY</w:t>
                    </w:r>
                  </w:hyperlink>
                </w:p>
                <w:p w:rsidR="00116AF4" w:rsidRDefault="00116AF4" w:rsidP="00116AF4">
                  <w:pPr>
                    <w:pStyle w:val="NormalWeb"/>
                  </w:pPr>
                  <w:r>
                    <w:t xml:space="preserve">· </w:t>
                  </w:r>
                  <w:hyperlink w:anchor="m_2775912902713410657__Toc522026516" w:history="1">
                    <w:r>
                      <w:rPr>
                        <w:rStyle w:val="Hyperlink"/>
                      </w:rPr>
                      <w:t>Analysis of future generation capacity scenarios for Vietnam.</w:t>
                    </w:r>
                  </w:hyperlink>
                </w:p>
                <w:p w:rsidR="00116AF4" w:rsidRDefault="00116AF4" w:rsidP="00116AF4">
                  <w:pPr>
                    <w:pStyle w:val="NormalWeb"/>
                  </w:pPr>
                  <w:r>
                    <w:t xml:space="preserve">· </w:t>
                  </w:r>
                  <w:hyperlink w:anchor="m_2775912902713410657__Toc522026517" w:history="1">
                    <w:r>
                      <w:rPr>
                        <w:rStyle w:val="Hyperlink"/>
                      </w:rPr>
                      <w:t>Green transformations in Vietnam's energy sector.</w:t>
                    </w:r>
                  </w:hyperlink>
                </w:p>
                <w:p w:rsidR="00116AF4" w:rsidRDefault="00116AF4" w:rsidP="00116AF4">
                  <w:pPr>
                    <w:pStyle w:val="NormalWeb"/>
                  </w:pPr>
                  <w:r>
                    <w:lastRenderedPageBreak/>
                    <w:t xml:space="preserve">· </w:t>
                  </w:r>
                  <w:hyperlink w:anchor="m_2775912902713410657__Toc522026518" w:history="1">
                    <w:r>
                      <w:rPr>
                        <w:rStyle w:val="Hyperlink"/>
                      </w:rPr>
                      <w:t>Sustainability of biogas and cassava-based ethanol value chains in Viet Nam: results and recommendations from the implementation of the Global Bioenergy Partnership indicators.</w:t>
                    </w:r>
                  </w:hyperlink>
                </w:p>
                <w:p w:rsidR="00116AF4" w:rsidRDefault="00116AF4" w:rsidP="00116AF4">
                  <w:pPr>
                    <w:pStyle w:val="NormalWeb"/>
                  </w:pPr>
                  <w:hyperlink w:anchor="m_2775912902713410657__Toc522026519" w:history="1">
                    <w:r>
                      <w:rPr>
                        <w:rStyle w:val="Hyperlink"/>
                      </w:rPr>
                      <w:t>LABOR</w:t>
                    </w:r>
                  </w:hyperlink>
                </w:p>
                <w:p w:rsidR="00116AF4" w:rsidRDefault="00116AF4" w:rsidP="00116AF4">
                  <w:pPr>
                    <w:pStyle w:val="NormalWeb"/>
                  </w:pPr>
                  <w:r>
                    <w:t xml:space="preserve">· </w:t>
                  </w:r>
                  <w:hyperlink w:anchor="m_2775912902713410657__Toc522026520" w:history="1">
                    <w:r>
                      <w:rPr>
                        <w:rStyle w:val="Hyperlink"/>
                      </w:rPr>
                      <w:t>Does union membership pay off? Evidence from Vietnamese SMEs.</w:t>
                    </w:r>
                  </w:hyperlink>
                </w:p>
                <w:p w:rsidR="00116AF4" w:rsidRDefault="00116AF4" w:rsidP="00116AF4">
                  <w:pPr>
                    <w:pStyle w:val="NormalWeb"/>
                  </w:pPr>
                  <w:r>
                    <w:t xml:space="preserve">· </w:t>
                  </w:r>
                  <w:hyperlink w:anchor="m_2775912902713410657__Toc522026521" w:history="1">
                    <w:r>
                      <w:rPr>
                        <w:rStyle w:val="Hyperlink"/>
                      </w:rPr>
                      <w:t>Pecuniary returns to working conditions in Viet Nam.</w:t>
                    </w:r>
                  </w:hyperlink>
                </w:p>
                <w:p w:rsidR="00116AF4" w:rsidRDefault="00116AF4" w:rsidP="00116AF4">
                  <w:pPr>
                    <w:pStyle w:val="NormalWeb"/>
                  </w:pPr>
                  <w:hyperlink w:anchor="m_2775912902713410657__Toc522026522" w:history="1">
                    <w:r>
                      <w:rPr>
                        <w:rStyle w:val="Hyperlink"/>
                      </w:rPr>
                      <w:t>SOCIAL DEVELOPMENT</w:t>
                    </w:r>
                  </w:hyperlink>
                </w:p>
                <w:p w:rsidR="00116AF4" w:rsidRDefault="00116AF4" w:rsidP="00116AF4">
                  <w:pPr>
                    <w:pStyle w:val="NormalWeb"/>
                  </w:pPr>
                  <w:r>
                    <w:t xml:space="preserve">· </w:t>
                  </w:r>
                  <w:hyperlink w:anchor="m_2775912902713410657__Toc522026523" w:history="1">
                    <w:r>
                      <w:rPr>
                        <w:rStyle w:val="Hyperlink"/>
                      </w:rPr>
                      <w:t>The effect of various income sources on income inequality: a comparison across ethnic groups in Vietnam.</w:t>
                    </w:r>
                  </w:hyperlink>
                </w:p>
                <w:p w:rsidR="00116AF4" w:rsidRDefault="00116AF4" w:rsidP="00116AF4">
                  <w:pPr>
                    <w:pStyle w:val="NormalWeb"/>
                  </w:pPr>
                  <w:r>
                    <w:t xml:space="preserve">· </w:t>
                  </w:r>
                  <w:hyperlink w:anchor="m_2775912902713410657__Toc522026524" w:history="1">
                    <w:r>
                      <w:rPr>
                        <w:rStyle w:val="Hyperlink"/>
                      </w:rPr>
                      <w:t>Discrimination against Migra</w:t>
                    </w:r>
                    <w:r>
                      <w:rPr>
                        <w:rStyle w:val="Hyperlink"/>
                      </w:rPr>
                      <w:t>n</w:t>
                    </w:r>
                    <w:r>
                      <w:rPr>
                        <w:rStyle w:val="Hyperlink"/>
                      </w:rPr>
                      <w:t>ts in Urban Vietnam.</w:t>
                    </w:r>
                  </w:hyperlink>
                </w:p>
                <w:p w:rsidR="00116AF4" w:rsidRDefault="00116AF4" w:rsidP="00116AF4">
                  <w:pPr>
                    <w:pStyle w:val="NormalWeb"/>
                  </w:pPr>
                  <w: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b/>
                      <w:bCs/>
                      <w:color w:val="FF0000"/>
                      <w:sz w:val="20"/>
                      <w:szCs w:val="20"/>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b/>
                      <w:bCs/>
                      <w:color w:val="FF0000"/>
                      <w:sz w:val="20"/>
                      <w:szCs w:val="20"/>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3" w:name="m_2775912902713410657__Toc522026451"/>
                  <w:r w:rsidRPr="00116AF4">
                    <w:rPr>
                      <w:rFonts w:ascii="Arial" w:eastAsia="Times New Roman" w:hAnsi="Arial" w:cs="Arial"/>
                      <w:b/>
                      <w:bCs/>
                      <w:color w:val="FFFFFF"/>
                      <w:kern w:val="36"/>
                      <w:sz w:val="48"/>
                      <w:szCs w:val="48"/>
                    </w:rPr>
                    <w:t>AGRICULTURE AND RURAL DEVELOPMENT</w:t>
                  </w:r>
                  <w:bookmarkEnd w:id="3"/>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4" w:name="m_2775912902713410657__Toc522026452"/>
                  <w:bookmarkStart w:id="5" w:name="m_2775912902713410657__Hlk511750468"/>
                  <w:bookmarkStart w:id="6" w:name="m_2775912902713410657__Hlk507510159"/>
                  <w:bookmarkEnd w:id="5"/>
                  <w:bookmarkEnd w:id="6"/>
                  <w:r w:rsidRPr="00116AF4">
                    <w:rPr>
                      <w:rFonts w:ascii="Calibri" w:eastAsia="Times New Roman" w:hAnsi="Calibri" w:cs="Calibri"/>
                      <w:b/>
                      <w:bCs/>
                      <w:color w:val="800000"/>
                      <w:sz w:val="22"/>
                    </w:rPr>
                    <w:t>Evolution of Agricultural Mechanization in Vietnam: Insights from a Literature Review and Multiple Rounds of a Farm Household Survey.</w:t>
                  </w:r>
                  <w:bookmarkEnd w:id="4"/>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Hiroyuki Takeshima, </w:t>
                  </w:r>
                  <w:proofErr w:type="spellStart"/>
                  <w:r w:rsidRPr="00116AF4">
                    <w:rPr>
                      <w:rFonts w:ascii="Arial" w:eastAsia="Times New Roman" w:hAnsi="Arial" w:cs="Arial"/>
                      <w:szCs w:val="24"/>
                    </w:rPr>
                    <w:t>Yanyan</w:t>
                  </w:r>
                  <w:proofErr w:type="spellEnd"/>
                  <w:r w:rsidRPr="00116AF4">
                    <w:rPr>
                      <w:rFonts w:ascii="Arial" w:eastAsia="Times New Roman" w:hAnsi="Arial" w:cs="Arial"/>
                      <w:szCs w:val="24"/>
                    </w:rPr>
                    <w:t xml:space="preserve"> Liu and Ian </w:t>
                  </w:r>
                  <w:proofErr w:type="spellStart"/>
                  <w:r w:rsidRPr="00116AF4">
                    <w:rPr>
                      <w:rFonts w:ascii="Arial" w:eastAsia="Times New Roman" w:hAnsi="Arial" w:cs="Arial"/>
                      <w:szCs w:val="24"/>
                    </w:rPr>
                    <w:t>Masias</w:t>
                  </w:r>
                  <w:proofErr w:type="spellEnd"/>
                  <w:r w:rsidRPr="00116AF4">
                    <w:rPr>
                      <w:rFonts w:ascii="Arial" w:eastAsia="Times New Roman" w:hAnsi="Arial" w:cs="Arial"/>
                      <w:szCs w:val="24"/>
                    </w:rPr>
                    <w:t>,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 w:tgtFrame="_blank" w:history="1">
                    <w:r w:rsidRPr="00116AF4">
                      <w:rPr>
                        <w:rFonts w:ascii="Arial" w:eastAsia="Times New Roman" w:hAnsi="Arial" w:cs="Arial"/>
                        <w:color w:val="1155CC"/>
                        <w:szCs w:val="24"/>
                        <w:u w:val="single"/>
                      </w:rPr>
                      <w:t>https://ideas.repec.org/p/ess/wpaper/id12785.html</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Despite the reportedly rapid growth of mechanization, as well as its unique history in economic and social systems, information on the patterns of agricultural mechanization growth in Vietnam has been limited. Through an extensive review of existing literature and several rounds of nationally representative household survey data, we document the evolution of mechanization (particularly tractors and combine harvesters) in Vietnam, including the heterogeneity across regions and farm sizes, and the emerging roles of the private sector in the supply of machinery and hiring </w:t>
                  </w:r>
                  <w:r w:rsidRPr="00116AF4">
                    <w:rPr>
                      <w:rFonts w:ascii="Arial" w:eastAsia="Times New Roman" w:hAnsi="Arial" w:cs="Arial"/>
                      <w:szCs w:val="24"/>
                    </w:rPr>
                    <w:lastRenderedPageBreak/>
                    <w:t xml:space="preserve">services. The historical growth pattern of mechanization in Vietnam had been non-linear, characterized by somewhat high tractor-use prior to 1975 followed by a decline in the 80s before </w:t>
                  </w:r>
                  <w:proofErr w:type="gramStart"/>
                  <w:r w:rsidRPr="00116AF4">
                    <w:rPr>
                      <w:rFonts w:ascii="Arial" w:eastAsia="Times New Roman" w:hAnsi="Arial" w:cs="Arial"/>
                      <w:szCs w:val="24"/>
                    </w:rPr>
                    <w:t>a resurgence</w:t>
                  </w:r>
                  <w:proofErr w:type="gramEnd"/>
                  <w:r w:rsidRPr="00116AF4">
                    <w:rPr>
                      <w:rFonts w:ascii="Arial" w:eastAsia="Times New Roman" w:hAnsi="Arial" w:cs="Arial"/>
                      <w:szCs w:val="24"/>
                    </w:rPr>
                    <w:t xml:space="preserve"> in the 90s, with considerable variations in adoption patterns across regions.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7" w:name="m_2775912902713410657__Toc522026453"/>
                  <w:r w:rsidRPr="00116AF4">
                    <w:rPr>
                      <w:rFonts w:ascii="Calibri" w:eastAsia="Times New Roman" w:hAnsi="Calibri" w:cs="Calibri"/>
                      <w:b/>
                      <w:bCs/>
                      <w:color w:val="800000"/>
                      <w:sz w:val="22"/>
                    </w:rPr>
                    <w:t xml:space="preserve">Efficiency and adoption of organic tea production: Evidence from Vi </w:t>
                  </w:r>
                  <w:proofErr w:type="spellStart"/>
                  <w:r w:rsidRPr="00116AF4">
                    <w:rPr>
                      <w:rFonts w:ascii="Calibri" w:eastAsia="Times New Roman" w:hAnsi="Calibri" w:cs="Calibri"/>
                      <w:b/>
                      <w:bCs/>
                      <w:color w:val="800000"/>
                      <w:sz w:val="22"/>
                    </w:rPr>
                    <w:t>Xuyen</w:t>
                  </w:r>
                  <w:proofErr w:type="spellEnd"/>
                  <w:r w:rsidRPr="00116AF4">
                    <w:rPr>
                      <w:rFonts w:ascii="Calibri" w:eastAsia="Times New Roman" w:hAnsi="Calibri" w:cs="Calibri"/>
                      <w:b/>
                      <w:bCs/>
                      <w:color w:val="800000"/>
                      <w:sz w:val="22"/>
                    </w:rPr>
                    <w:t xml:space="preserve"> district, Ha </w:t>
                  </w:r>
                  <w:proofErr w:type="spellStart"/>
                  <w:r w:rsidRPr="00116AF4">
                    <w:rPr>
                      <w:rFonts w:ascii="Calibri" w:eastAsia="Times New Roman" w:hAnsi="Calibri" w:cs="Calibri"/>
                      <w:b/>
                      <w:bCs/>
                      <w:color w:val="800000"/>
                      <w:sz w:val="22"/>
                    </w:rPr>
                    <w:t>Giang</w:t>
                  </w:r>
                  <w:proofErr w:type="spellEnd"/>
                  <w:r w:rsidRPr="00116AF4">
                    <w:rPr>
                      <w:rFonts w:ascii="Calibri" w:eastAsia="Times New Roman" w:hAnsi="Calibri" w:cs="Calibri"/>
                      <w:b/>
                      <w:bCs/>
                      <w:color w:val="800000"/>
                      <w:sz w:val="22"/>
                    </w:rPr>
                    <w:t xml:space="preserve"> province, Vietnam.</w:t>
                  </w:r>
                  <w:bookmarkEnd w:id="7"/>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Nguyen To </w:t>
                  </w:r>
                  <w:proofErr w:type="gramStart"/>
                  <w:r w:rsidRPr="00116AF4">
                    <w:rPr>
                      <w:rFonts w:ascii="Arial" w:eastAsia="Times New Roman" w:hAnsi="Arial" w:cs="Arial"/>
                      <w:szCs w:val="24"/>
                    </w:rPr>
                    <w:t>The and</w:t>
                  </w:r>
                  <w:proofErr w:type="gramEnd"/>
                  <w:r w:rsidRPr="00116AF4">
                    <w:rPr>
                      <w:rFonts w:ascii="Arial" w:eastAsia="Times New Roman" w:hAnsi="Arial" w:cs="Arial"/>
                      <w:szCs w:val="24"/>
                    </w:rPr>
                    <w:t xml:space="preserve"> Anh Nguyen Tuan. Asia-Pacific Journal of Regional Science,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This paper considers two empirical models. Initially, a stochastic frontier analysis is employed to investigate the technical efficiencies of tea growers in Vi </w:t>
                  </w:r>
                  <w:proofErr w:type="spellStart"/>
                  <w:r w:rsidRPr="00116AF4">
                    <w:rPr>
                      <w:rFonts w:ascii="Arial" w:eastAsia="Times New Roman" w:hAnsi="Arial" w:cs="Arial"/>
                      <w:szCs w:val="24"/>
                    </w:rPr>
                    <w:t>Xuyen</w:t>
                  </w:r>
                  <w:proofErr w:type="spellEnd"/>
                  <w:r w:rsidRPr="00116AF4">
                    <w:rPr>
                      <w:rFonts w:ascii="Arial" w:eastAsia="Times New Roman" w:hAnsi="Arial" w:cs="Arial"/>
                      <w:szCs w:val="24"/>
                    </w:rPr>
                    <w:t xml:space="preserve">, Ha </w:t>
                  </w:r>
                  <w:proofErr w:type="spellStart"/>
                  <w:r w:rsidRPr="00116AF4">
                    <w:rPr>
                      <w:rFonts w:ascii="Arial" w:eastAsia="Times New Roman" w:hAnsi="Arial" w:cs="Arial"/>
                      <w:szCs w:val="24"/>
                    </w:rPr>
                    <w:t>Giang</w:t>
                  </w:r>
                  <w:proofErr w:type="spellEnd"/>
                  <w:r w:rsidRPr="00116AF4">
                    <w:rPr>
                      <w:rFonts w:ascii="Arial" w:eastAsia="Times New Roman" w:hAnsi="Arial" w:cs="Arial"/>
                      <w:szCs w:val="24"/>
                    </w:rPr>
                    <w:t xml:space="preserve">. The findings indicate that the average technical efficiency of organic tea farmers in surveyed area was 65.2.1% which is lower than that of conventional tea growers (70.1%). Furthermore, the average age of tea plant has negative effect on technical efficiency of tea </w:t>
                  </w:r>
                  <w:proofErr w:type="gramStart"/>
                  <w:r w:rsidRPr="00116AF4">
                    <w:rPr>
                      <w:rFonts w:ascii="Arial" w:eastAsia="Times New Roman" w:hAnsi="Arial" w:cs="Arial"/>
                      <w:szCs w:val="24"/>
                    </w:rPr>
                    <w:t>production,</w:t>
                  </w:r>
                  <w:proofErr w:type="gramEnd"/>
                  <w:r w:rsidRPr="00116AF4">
                    <w:rPr>
                      <w:rFonts w:ascii="Arial" w:eastAsia="Times New Roman" w:hAnsi="Arial" w:cs="Arial"/>
                      <w:szCs w:val="24"/>
                    </w:rPr>
                    <w:t xml:space="preserve"> meanwhile, the remaining parameters have positive effects on the technical efficiency. Secondly, binary logistic regression analysis is used to determine the influencing factors of the tea farmer’s choice on organic tea production. The variables such as cultivation land, access to extension services, experience of household’s head and especially contract farming have large influences on the decision of tea farmers. The marginal effects after logit of the explanatory variables are</w:t>
                  </w:r>
                  <w:proofErr w:type="gramStart"/>
                  <w:r w:rsidRPr="00116AF4">
                    <w:rPr>
                      <w:rFonts w:ascii="Arial" w:eastAsia="Times New Roman" w:hAnsi="Arial" w:cs="Arial"/>
                      <w:szCs w:val="24"/>
                    </w:rPr>
                    <w:t>  -</w:t>
                  </w:r>
                  <w:proofErr w:type="gramEnd"/>
                  <w:r w:rsidRPr="00116AF4">
                    <w:rPr>
                      <w:rFonts w:ascii="Arial" w:eastAsia="Times New Roman" w:hAnsi="Arial" w:cs="Arial"/>
                      <w:szCs w:val="24"/>
                    </w:rPr>
                    <w:t>0.01, 0.63,  -0.05, 0.71, respectively.</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8" w:name="m_2775912902713410657__Toc522026454"/>
                  <w:r w:rsidRPr="00116AF4">
                    <w:rPr>
                      <w:rFonts w:ascii="Calibri" w:eastAsia="Times New Roman" w:hAnsi="Calibri" w:cs="Calibri"/>
                      <w:b/>
                      <w:bCs/>
                      <w:color w:val="800000"/>
                      <w:sz w:val="22"/>
                    </w:rPr>
                    <w:t>Is Green Growth Possible in Vietnam? The Case of Marine Capture Fisheries.</w:t>
                  </w:r>
                  <w:bookmarkEnd w:id="8"/>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Thanh Viet Nguyen, </w:t>
                  </w:r>
                  <w:proofErr w:type="spellStart"/>
                  <w:r w:rsidRPr="00116AF4">
                    <w:rPr>
                      <w:rFonts w:ascii="Arial" w:eastAsia="Times New Roman" w:hAnsi="Arial" w:cs="Arial"/>
                      <w:szCs w:val="24"/>
                    </w:rPr>
                    <w:t>Manh</w:t>
                  </w:r>
                  <w:proofErr w:type="spellEnd"/>
                  <w:r w:rsidRPr="00116AF4">
                    <w:rPr>
                      <w:rFonts w:ascii="Arial" w:eastAsia="Times New Roman" w:hAnsi="Arial" w:cs="Arial"/>
                      <w:szCs w:val="24"/>
                    </w:rPr>
                    <w:t xml:space="preserve"> Hung Nguyen and </w:t>
                  </w:r>
                  <w:proofErr w:type="spellStart"/>
                  <w:r w:rsidRPr="00116AF4">
                    <w:rPr>
                      <w:rFonts w:ascii="Arial" w:eastAsia="Times New Roman" w:hAnsi="Arial" w:cs="Arial"/>
                      <w:szCs w:val="24"/>
                    </w:rPr>
                    <w:t>Quang</w:t>
                  </w:r>
                  <w:proofErr w:type="spellEnd"/>
                  <w:r w:rsidRPr="00116AF4">
                    <w:rPr>
                      <w:rFonts w:ascii="Arial" w:eastAsia="Times New Roman" w:hAnsi="Arial" w:cs="Arial"/>
                      <w:szCs w:val="24"/>
                    </w:rPr>
                    <w:t xml:space="preserve"> Le Van. </w:t>
                  </w:r>
                  <w:proofErr w:type="spellStart"/>
                  <w:r w:rsidRPr="00116AF4">
                    <w:rPr>
                      <w:rFonts w:ascii="Arial" w:eastAsia="Times New Roman" w:hAnsi="Arial" w:cs="Arial"/>
                      <w:szCs w:val="24"/>
                    </w:rPr>
                    <w:t>BioPhysical</w:t>
                  </w:r>
                  <w:proofErr w:type="spellEnd"/>
                  <w:r w:rsidRPr="00116AF4">
                    <w:rPr>
                      <w:rFonts w:ascii="Arial" w:eastAsia="Times New Roman" w:hAnsi="Arial" w:cs="Arial"/>
                      <w:szCs w:val="24"/>
                    </w:rPr>
                    <w:t xml:space="preserve"> Economics and Resource Quality, 2018, volume 3, number 3, p. 9.</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objective of this study is to assess sustainable development and the potential for green growth of the marine capture fisheries in Vietnam. We use “standard” bio-economic models with additional terms to correct some of ecosystem externalities and to define reference points for the fisheries. The results show that Vietnam’s marine capture fisheries are unsustainable and the fishing effort needs to be reduced about 0.35 and 0.39 of present effort in order to achieve the maximum sustainable yield and maximum economic yield, respectively. If ecosystem externalities are taken into account, the situation is even worse. The potential for green growth in the fisheries is estimated to be about 7.3 billion USD, higher than the export value for fisheries and aquaculture products in Vietnam in 2016. Green </w:t>
                  </w:r>
                  <w:r w:rsidRPr="00116AF4">
                    <w:rPr>
                      <w:rFonts w:ascii="Arial" w:eastAsia="Times New Roman" w:hAnsi="Arial" w:cs="Arial"/>
                      <w:szCs w:val="24"/>
                    </w:rPr>
                    <w:lastRenderedPageBreak/>
                    <w:t>growth policies for the fisheries include public subsidies to environmentally friendly industries, reducing the “trash” fish catch and more efficient regulations more effectively enforced.</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w:anchor="_top" w:history="1">
                    <w:r w:rsidRPr="00116AF4">
                      <w:rPr>
                        <w:rFonts w:ascii="Arial" w:eastAsia="Times New Roman" w:hAnsi="Arial" w:cs="Arial"/>
                        <w:color w:val="1155CC"/>
                        <w:szCs w:val="24"/>
                        <w:u w:val="single"/>
                      </w:rPr>
                      <w:t xml:space="preserve">Back </w:t>
                    </w:r>
                    <w:r w:rsidRPr="00116AF4">
                      <w:rPr>
                        <w:rFonts w:ascii="Arial" w:eastAsia="Times New Roman" w:hAnsi="Arial" w:cs="Arial"/>
                        <w:color w:val="1155CC"/>
                        <w:szCs w:val="24"/>
                        <w:u w:val="single"/>
                      </w:rPr>
                      <w:t>t</w:t>
                    </w:r>
                    <w:r w:rsidRPr="00116AF4">
                      <w:rPr>
                        <w:rFonts w:ascii="Arial" w:eastAsia="Times New Roman" w:hAnsi="Arial" w:cs="Arial"/>
                        <w:color w:val="1155CC"/>
                        <w:szCs w:val="24"/>
                        <w:u w:val="single"/>
                      </w:rPr>
                      <w:t>o top</w:t>
                    </w:r>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9" w:name="m_2775912902713410657__Toc522026455"/>
                  <w:r w:rsidRPr="00116AF4">
                    <w:rPr>
                      <w:rFonts w:ascii="Calibri" w:eastAsia="Times New Roman" w:hAnsi="Calibri" w:cs="Calibri"/>
                      <w:b/>
                      <w:bCs/>
                      <w:color w:val="800000"/>
                      <w:sz w:val="22"/>
                    </w:rPr>
                    <w:t>An assessment of UN- REDD in Lam Dong Province, Vietnam.</w:t>
                  </w:r>
                  <w:bookmarkEnd w:id="9"/>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Laura Maxwell, </w:t>
                  </w:r>
                  <w:proofErr w:type="spellStart"/>
                  <w:r w:rsidRPr="00116AF4">
                    <w:rPr>
                      <w:rFonts w:ascii="Arial" w:eastAsia="Times New Roman" w:hAnsi="Arial" w:cs="Arial"/>
                      <w:szCs w:val="24"/>
                    </w:rPr>
                    <w:t>Vidya</w:t>
                  </w:r>
                  <w:proofErr w:type="spellEnd"/>
                  <w:r w:rsidRPr="00116AF4">
                    <w:rPr>
                      <w:rFonts w:ascii="Arial" w:eastAsia="Times New Roman" w:hAnsi="Arial" w:cs="Arial"/>
                      <w:szCs w:val="24"/>
                    </w:rPr>
                    <w:t xml:space="preserve"> Nair and Stephanie Solomon. </w:t>
                  </w:r>
                  <w:proofErr w:type="gramStart"/>
                  <w:r w:rsidRPr="00116AF4">
                    <w:rPr>
                      <w:rFonts w:ascii="Arial" w:eastAsia="Times New Roman" w:hAnsi="Arial" w:cs="Arial"/>
                      <w:szCs w:val="24"/>
                    </w:rPr>
                    <w:t>in</w:t>
                  </w:r>
                  <w:proofErr w:type="gramEnd"/>
                  <w:r w:rsidRPr="00116AF4">
                    <w:rPr>
                      <w:rFonts w:ascii="Arial" w:eastAsia="Times New Roman" w:hAnsi="Arial" w:cs="Arial"/>
                      <w:szCs w:val="24"/>
                    </w:rPr>
                    <w:t>: Water, Climate Change and the Boomerang Effect: Unintentional Consequences for Resource Insecurity, Routledge,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United Nations </w:t>
                  </w:r>
                  <w:proofErr w:type="spellStart"/>
                  <w:r w:rsidRPr="00116AF4">
                    <w:rPr>
                      <w:rFonts w:ascii="Arial" w:eastAsia="Times New Roman" w:hAnsi="Arial" w:cs="Arial"/>
                      <w:szCs w:val="24"/>
                    </w:rPr>
                    <w:t>Programme</w:t>
                  </w:r>
                  <w:proofErr w:type="spellEnd"/>
                  <w:r w:rsidRPr="00116AF4">
                    <w:rPr>
                      <w:rFonts w:ascii="Arial" w:eastAsia="Times New Roman" w:hAnsi="Arial" w:cs="Arial"/>
                      <w:szCs w:val="24"/>
                    </w:rPr>
                    <w:t xml:space="preserve"> on Reducing Emissions from Deforestation and Forest Degradation (referred to as UN-REDD and REDD+), is designed to provide financial value for carbon stored in forest, whereby forest managers and users aim to reduce emissions and invest in low-carbon options. With a focus on developing countries, the </w:t>
                  </w:r>
                  <w:proofErr w:type="spellStart"/>
                  <w:r w:rsidRPr="00116AF4">
                    <w:rPr>
                      <w:rFonts w:ascii="Arial" w:eastAsia="Times New Roman" w:hAnsi="Arial" w:cs="Arial"/>
                      <w:szCs w:val="24"/>
                    </w:rPr>
                    <w:t>programme</w:t>
                  </w:r>
                  <w:proofErr w:type="spellEnd"/>
                  <w:r w:rsidRPr="00116AF4">
                    <w:rPr>
                      <w:rFonts w:ascii="Arial" w:eastAsia="Times New Roman" w:hAnsi="Arial" w:cs="Arial"/>
                      <w:szCs w:val="24"/>
                    </w:rPr>
                    <w:t xml:space="preserve"> is intended to encourage policy approaches and positive incentives that promote conservation, sustainable management of forests, and enhancement of forest carbon stocks (Thompson et al., 2011). Within the </w:t>
                  </w:r>
                  <w:proofErr w:type="spellStart"/>
                  <w:r w:rsidRPr="00116AF4">
                    <w:rPr>
                      <w:rFonts w:ascii="Arial" w:eastAsia="Times New Roman" w:hAnsi="Arial" w:cs="Arial"/>
                      <w:szCs w:val="24"/>
                    </w:rPr>
                    <w:t>programme</w:t>
                  </w:r>
                  <w:proofErr w:type="spellEnd"/>
                  <w:r w:rsidRPr="00116AF4">
                    <w:rPr>
                      <w:rFonts w:ascii="Arial" w:eastAsia="Times New Roman" w:hAnsi="Arial" w:cs="Arial"/>
                      <w:szCs w:val="24"/>
                    </w:rPr>
                    <w:t>, countries including Vietnam will measure and monitor CO2 emissions resulting from deforestation and degradation within their borders. Forests serve a number of important ecological functions, and deforestation and degradation are known to negatively contribute to soil erosion, flooding, loss of biodiversity, and impaired water supply and quality (</w:t>
                  </w:r>
                  <w:proofErr w:type="spellStart"/>
                  <w:r w:rsidRPr="00116AF4">
                    <w:rPr>
                      <w:rFonts w:ascii="Arial" w:eastAsia="Times New Roman" w:hAnsi="Arial" w:cs="Arial"/>
                      <w:szCs w:val="24"/>
                    </w:rPr>
                    <w:t>Zaiha</w:t>
                  </w:r>
                  <w:proofErr w:type="spellEnd"/>
                  <w:r w:rsidRPr="00116AF4">
                    <w:rPr>
                      <w:rFonts w:ascii="Arial" w:eastAsia="Times New Roman" w:hAnsi="Arial" w:cs="Arial"/>
                      <w:szCs w:val="24"/>
                    </w:rPr>
                    <w:t xml:space="preserve"> et al., 2015). Blue water is associated with the flow of surface and groundwater (UNESCO, 2006), while green water encompasses ‘precipitation on land that does not run off or recharge groundwater, but is stored in the soil or temporarily stays on top of the soil or vegetation’ (Hoekstra et al., 2011). Thus, initiatives including those delivered by the UN-REDD may work to reduce emissions, while protecting and/or improving environmental health and water security. As a method to mitigate the effects of climate change, prevent land degradation and protect green and blue water, the Government of Vietnam launched </w:t>
                  </w:r>
                  <w:proofErr w:type="gramStart"/>
                  <w:r w:rsidRPr="00116AF4">
                    <w:rPr>
                      <w:rFonts w:ascii="Arial" w:eastAsia="Times New Roman" w:hAnsi="Arial" w:cs="Arial"/>
                      <w:szCs w:val="24"/>
                    </w:rPr>
                    <w:t>its</w:t>
                  </w:r>
                  <w:proofErr w:type="gramEnd"/>
                  <w:r w:rsidRPr="00116AF4">
                    <w:rPr>
                      <w:rFonts w:ascii="Arial" w:eastAsia="Times New Roman" w:hAnsi="Arial" w:cs="Arial"/>
                      <w:szCs w:val="24"/>
                    </w:rPr>
                    <w:t xml:space="preserve"> UNREDD national </w:t>
                  </w:r>
                  <w:proofErr w:type="spellStart"/>
                  <w:r w:rsidRPr="00116AF4">
                    <w:rPr>
                      <w:rFonts w:ascii="Arial" w:eastAsia="Times New Roman" w:hAnsi="Arial" w:cs="Arial"/>
                      <w:szCs w:val="24"/>
                    </w:rPr>
                    <w:t>programme</w:t>
                  </w:r>
                  <w:proofErr w:type="spellEnd"/>
                  <w:r w:rsidRPr="00116AF4">
                    <w:rPr>
                      <w:rFonts w:ascii="Arial" w:eastAsia="Times New Roman" w:hAnsi="Arial" w:cs="Arial"/>
                      <w:szCs w:val="24"/>
                    </w:rPr>
                    <w:t xml:space="preserve"> for forest protection and restoration in 2009. This chapter discusses challenges with government policy for land tenure and resource management, and the importance of the principle of free, prior and informed consent (FPIC) and appropriate payment for forest environmental services (PFES), which may act as a barrier to meaningful participation. If Vietnam’s UN-REDD </w:t>
                  </w:r>
                  <w:proofErr w:type="spellStart"/>
                  <w:r w:rsidRPr="00116AF4">
                    <w:rPr>
                      <w:rFonts w:ascii="Arial" w:eastAsia="Times New Roman" w:hAnsi="Arial" w:cs="Arial"/>
                      <w:szCs w:val="24"/>
                    </w:rPr>
                    <w:t>Programme</w:t>
                  </w:r>
                  <w:proofErr w:type="spellEnd"/>
                  <w:r w:rsidRPr="00116AF4">
                    <w:rPr>
                      <w:rFonts w:ascii="Arial" w:eastAsia="Times New Roman" w:hAnsi="Arial" w:cs="Arial"/>
                      <w:szCs w:val="24"/>
                    </w:rPr>
                    <w:t xml:space="preserve"> is to achieve success, the government must revise its national priorities, revise its land allocation policy and ensure meaningful stakeholder participation. The chapter first discusses some of Vietnam’s economic goals and policies as a means to give context to some of the </w:t>
                  </w:r>
                  <w:r w:rsidRPr="00116AF4">
                    <w:rPr>
                      <w:rFonts w:ascii="Arial" w:eastAsia="Times New Roman" w:hAnsi="Arial" w:cs="Arial"/>
                      <w:szCs w:val="24"/>
                    </w:rPr>
                    <w:lastRenderedPageBreak/>
                    <w:t xml:space="preserve">drivers of deforestation that will be addressed. Following which, factors that could hinder the success of the UN-REDD </w:t>
                  </w:r>
                  <w:proofErr w:type="spellStart"/>
                  <w:r w:rsidRPr="00116AF4">
                    <w:rPr>
                      <w:rFonts w:ascii="Arial" w:eastAsia="Times New Roman" w:hAnsi="Arial" w:cs="Arial"/>
                      <w:szCs w:val="24"/>
                    </w:rPr>
                    <w:t>programme</w:t>
                  </w:r>
                  <w:proofErr w:type="spellEnd"/>
                  <w:r w:rsidRPr="00116AF4">
                    <w:rPr>
                      <w:rFonts w:ascii="Arial" w:eastAsia="Times New Roman" w:hAnsi="Arial" w:cs="Arial"/>
                      <w:szCs w:val="24"/>
                    </w:rPr>
                    <w:t xml:space="preserve"> in Vietnam are discussed; these issues surround the developmental policies that act as drivers of deforestation and issues surrounding the state of land tenure in Vietnam. Analysis of the importance of meaningful participation in the form of FPIC and system of PFES as integral parts of forest governance are also highlighted followed by discussion on the future of UN-REDD in Lam Dong,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0" w:name="m_2775912902713410657__Toc522026456"/>
                  <w:r w:rsidRPr="00116AF4">
                    <w:rPr>
                      <w:rFonts w:ascii="Calibri" w:eastAsia="Times New Roman" w:hAnsi="Calibri" w:cs="Calibri"/>
                      <w:b/>
                      <w:bCs/>
                      <w:color w:val="800000"/>
                      <w:sz w:val="22"/>
                    </w:rPr>
                    <w:t>Forestland and rural household livelihoods in the North Central Provinces, Vietnam.</w:t>
                  </w:r>
                  <w:bookmarkEnd w:id="10"/>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Thanh Viet Nguyen and </w:t>
                  </w:r>
                  <w:proofErr w:type="spellStart"/>
                  <w:r w:rsidRPr="00116AF4">
                    <w:rPr>
                      <w:rFonts w:ascii="Arial" w:eastAsia="Times New Roman" w:hAnsi="Arial" w:cs="Arial"/>
                      <w:szCs w:val="24"/>
                    </w:rPr>
                    <w:t>Tuyen</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Quang</w:t>
                  </w:r>
                  <w:proofErr w:type="spellEnd"/>
                  <w:r w:rsidRPr="00116AF4">
                    <w:rPr>
                      <w:rFonts w:ascii="Arial" w:eastAsia="Times New Roman" w:hAnsi="Arial" w:cs="Arial"/>
                      <w:szCs w:val="24"/>
                    </w:rPr>
                    <w:t xml:space="preserve"> Tran. Land Use Policy, 2018, volume 79, pp. 10-19.</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This paper examines the effects of forestland on household income, poverty and inequality among households in Vietnam’s poorest rural districts, the North Central Provinces. Randomly selected on the basis of their access to forest resources, 3200 households were interviewed. These people are extremely poor, with 54% living below the poverty line. Forest income constitutes about 17% of their total income; only wage income (37%) ranks higher. Such income is comprised mainly of non-timber forest plants (77%), followed by timber products (18%). However, there is a large gap in forest income between the poor and non-poor. The amount of forest income derived by non-poor households was nearly six times as much as that earned by poor households. Our micro-econometric analysis indicates that gaining access to more forestland would increase household per capita income and reduce the incidence and intensity of poverty, even after controlling for all other variables in the model. In addition, we find that forest income was the second largest contributor to overall income inequality and had a large marginal effect on it among local households. A policy implication here is that increasing the access of the poor to forest resources and improving their efficiency in forest management could have a substantial effect on income, poverty and inequality in the study area.</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w:anchor="_top" w:history="1">
                    <w:r w:rsidR="00977307" w:rsidRPr="00116AF4">
                      <w:rPr>
                        <w:rFonts w:ascii="Arial" w:eastAsia="Times New Roman" w:hAnsi="Arial" w:cs="Arial"/>
                        <w:color w:val="1155CC"/>
                        <w:szCs w:val="24"/>
                        <w:u w:val="single"/>
                      </w:rPr>
                      <w:t>Back to top</w:t>
                    </w:r>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1" w:name="m_2775912902713410657__Toc522026457"/>
                  <w:r w:rsidRPr="00116AF4">
                    <w:rPr>
                      <w:rFonts w:ascii="Calibri" w:eastAsia="Times New Roman" w:hAnsi="Calibri" w:cs="Calibri"/>
                      <w:b/>
                      <w:bCs/>
                      <w:color w:val="800000"/>
                      <w:sz w:val="22"/>
                    </w:rPr>
                    <w:t>Payment for forest environmental services in Vietnam: An analysis of buyers’ perspectives and willingness.</w:t>
                  </w:r>
                  <w:bookmarkEnd w:id="11"/>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Trong</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Hoan</w:t>
                  </w:r>
                  <w:proofErr w:type="spellEnd"/>
                  <w:r w:rsidRPr="00116AF4">
                    <w:rPr>
                      <w:rFonts w:ascii="Arial" w:eastAsia="Times New Roman" w:hAnsi="Arial" w:cs="Arial"/>
                      <w:szCs w:val="24"/>
                    </w:rPr>
                    <w:t xml:space="preserve"> Do, Tan Phuong Vu, Van Truong Nguyen and Delia </w:t>
                  </w:r>
                  <w:proofErr w:type="spellStart"/>
                  <w:r w:rsidRPr="00116AF4">
                    <w:rPr>
                      <w:rFonts w:ascii="Arial" w:eastAsia="Times New Roman" w:hAnsi="Arial" w:cs="Arial"/>
                      <w:szCs w:val="24"/>
                    </w:rPr>
                    <w:t>Catacutan</w:t>
                  </w:r>
                  <w:proofErr w:type="spellEnd"/>
                  <w:r w:rsidRPr="00116AF4">
                    <w:rPr>
                      <w:rFonts w:ascii="Arial" w:eastAsia="Times New Roman" w:hAnsi="Arial" w:cs="Arial"/>
                      <w:szCs w:val="24"/>
                    </w:rPr>
                    <w:t>. Ecosystem Services, 2018, volume 32, pp. 134-143.</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To mobilize more resources for conservation, the government of Vietnam has implemented a Payment for Forest Environment Services (PFES) policy that creates a market by collecting payments from a rather limited set of ecosystem services (ES) buyers and setting up a forest protection and development fund. Herein ES buyers do not interact with ES providers, and their participation is primarily based on regulatory compliance. We therefore asked, ‘what could be the real motivation for private-sector buyers of ES in Vietnam?’ We found that, although private-sector voluntary engagement is currently lacking, it is interested and willing to pay for ES. However, in their perspective, the ES that are regulated by the PFES policy had very weak elements of private goods and are thus difficult to be rationed. On the governance side, although the government has created a PFES structure, it neither facilitates direct engagement between ES buyers and providers, nor does it create an enabling environment for the emergence of voluntary payment schemes. To sustain the PFES, we suggest that along with amending laws and regulatory procedures to make ES more marketable, the government should evolve from regulating to enabling PFES negotiations using existing structures.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2" w:name="m_2775912902713410657__Toc522026458"/>
                  <w:r w:rsidRPr="00116AF4">
                    <w:rPr>
                      <w:rFonts w:ascii="Calibri" w:eastAsia="Times New Roman" w:hAnsi="Calibri" w:cs="Calibri"/>
                      <w:b/>
                      <w:bCs/>
                      <w:color w:val="800000"/>
                      <w:sz w:val="22"/>
                    </w:rPr>
                    <w:t xml:space="preserve">The impact of agricultural land use transition on income of households in Viet </w:t>
                  </w:r>
                  <w:proofErr w:type="spellStart"/>
                  <w:r w:rsidRPr="00116AF4">
                    <w:rPr>
                      <w:rFonts w:ascii="Calibri" w:eastAsia="Times New Roman" w:hAnsi="Calibri" w:cs="Calibri"/>
                      <w:b/>
                      <w:bCs/>
                      <w:color w:val="800000"/>
                      <w:sz w:val="22"/>
                    </w:rPr>
                    <w:t>Tri's</w:t>
                  </w:r>
                  <w:proofErr w:type="spellEnd"/>
                  <w:r w:rsidRPr="00116AF4">
                    <w:rPr>
                      <w:rFonts w:ascii="Calibri" w:eastAsia="Times New Roman" w:hAnsi="Calibri" w:cs="Calibri"/>
                      <w:b/>
                      <w:bCs/>
                      <w:color w:val="800000"/>
                      <w:sz w:val="22"/>
                    </w:rPr>
                    <w:t xml:space="preserve"> </w:t>
                  </w:r>
                  <w:proofErr w:type="spellStart"/>
                  <w:r w:rsidRPr="00116AF4">
                    <w:rPr>
                      <w:rFonts w:ascii="Calibri" w:eastAsia="Times New Roman" w:hAnsi="Calibri" w:cs="Calibri"/>
                      <w:b/>
                      <w:bCs/>
                      <w:color w:val="800000"/>
                      <w:sz w:val="22"/>
                    </w:rPr>
                    <w:t>peri</w:t>
                  </w:r>
                  <w:proofErr w:type="spellEnd"/>
                  <w:r w:rsidRPr="00116AF4">
                    <w:rPr>
                      <w:rFonts w:ascii="Calibri" w:eastAsia="Times New Roman" w:hAnsi="Calibri" w:cs="Calibri"/>
                      <w:b/>
                      <w:bCs/>
                      <w:color w:val="800000"/>
                      <w:sz w:val="22"/>
                    </w:rPr>
                    <w:t>-urban areas, Vietnam.</w:t>
                  </w:r>
                  <w:bookmarkEnd w:id="12"/>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Van Thanh Dang and Jean-Christophe Simon. Viet Tri 9th NEU-KKU International Conference on Socio-Economic and Environmental Issues in Development, May 2018,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6" w:tgtFrame="_blank" w:history="1">
                    <w:r w:rsidRPr="00116AF4">
                      <w:rPr>
                        <w:rFonts w:ascii="Arial" w:eastAsia="Times New Roman" w:hAnsi="Arial" w:cs="Arial"/>
                        <w:color w:val="1155CC"/>
                        <w:szCs w:val="24"/>
                        <w:u w:val="single"/>
                      </w:rPr>
                      <w:t>https://hal.archives-ouvertes.fr/hal-01835542/</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La communication </w:t>
                  </w:r>
                  <w:proofErr w:type="spellStart"/>
                  <w:r w:rsidRPr="00116AF4">
                    <w:rPr>
                      <w:rFonts w:ascii="Arial" w:eastAsia="Times New Roman" w:hAnsi="Arial" w:cs="Arial"/>
                      <w:szCs w:val="24"/>
                    </w:rPr>
                    <w:t>analyse</w:t>
                  </w:r>
                  <w:proofErr w:type="spellEnd"/>
                  <w:r w:rsidRPr="00116AF4">
                    <w:rPr>
                      <w:rFonts w:ascii="Arial" w:eastAsia="Times New Roman" w:hAnsi="Arial" w:cs="Arial"/>
                      <w:szCs w:val="24"/>
                    </w:rPr>
                    <w:t xml:space="preserve"> les </w:t>
                  </w:r>
                  <w:proofErr w:type="spellStart"/>
                  <w:r w:rsidRPr="00116AF4">
                    <w:rPr>
                      <w:rFonts w:ascii="Arial" w:eastAsia="Times New Roman" w:hAnsi="Arial" w:cs="Arial"/>
                      <w:szCs w:val="24"/>
                    </w:rPr>
                    <w:t>enjeux</w:t>
                  </w:r>
                  <w:proofErr w:type="spellEnd"/>
                  <w:r w:rsidRPr="00116AF4">
                    <w:rPr>
                      <w:rFonts w:ascii="Arial" w:eastAsia="Times New Roman" w:hAnsi="Arial" w:cs="Arial"/>
                      <w:szCs w:val="24"/>
                    </w:rPr>
                    <w:t xml:space="preserve"> de </w:t>
                  </w:r>
                  <w:proofErr w:type="spellStart"/>
                  <w:r w:rsidRPr="00116AF4">
                    <w:rPr>
                      <w:rFonts w:ascii="Arial" w:eastAsia="Times New Roman" w:hAnsi="Arial" w:cs="Arial"/>
                      <w:szCs w:val="24"/>
                    </w:rPr>
                    <w:t>gestion</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foncière</w:t>
                  </w:r>
                  <w:proofErr w:type="spellEnd"/>
                  <w:r w:rsidRPr="00116AF4">
                    <w:rPr>
                      <w:rFonts w:ascii="Arial" w:eastAsia="Times New Roman" w:hAnsi="Arial" w:cs="Arial"/>
                      <w:szCs w:val="24"/>
                    </w:rPr>
                    <w:t xml:space="preserve"> et de diversification des </w:t>
                  </w:r>
                  <w:proofErr w:type="spellStart"/>
                  <w:r w:rsidRPr="00116AF4">
                    <w:rPr>
                      <w:rFonts w:ascii="Arial" w:eastAsia="Times New Roman" w:hAnsi="Arial" w:cs="Arial"/>
                      <w:szCs w:val="24"/>
                    </w:rPr>
                    <w:t>revenus</w:t>
                  </w:r>
                  <w:proofErr w:type="spellEnd"/>
                  <w:r w:rsidRPr="00116AF4">
                    <w:rPr>
                      <w:rFonts w:ascii="Arial" w:eastAsia="Times New Roman" w:hAnsi="Arial" w:cs="Arial"/>
                      <w:szCs w:val="24"/>
                    </w:rPr>
                    <w:t xml:space="preserve"> pour les </w:t>
                  </w:r>
                  <w:proofErr w:type="spellStart"/>
                  <w:r w:rsidRPr="00116AF4">
                    <w:rPr>
                      <w:rFonts w:ascii="Arial" w:eastAsia="Times New Roman" w:hAnsi="Arial" w:cs="Arial"/>
                      <w:szCs w:val="24"/>
                    </w:rPr>
                    <w:t>agriculteurs</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peri-urbains</w:t>
                  </w:r>
                  <w:proofErr w:type="spellEnd"/>
                  <w:r w:rsidRPr="00116AF4">
                    <w:rPr>
                      <w:rFonts w:ascii="Arial" w:eastAsia="Times New Roman" w:hAnsi="Arial" w:cs="Arial"/>
                      <w:szCs w:val="24"/>
                    </w:rPr>
                    <w:t xml:space="preserve"> au Vietnam. Elle se </w:t>
                  </w:r>
                  <w:proofErr w:type="spellStart"/>
                  <w:r w:rsidRPr="00116AF4">
                    <w:rPr>
                      <w:rFonts w:ascii="Arial" w:eastAsia="Times New Roman" w:hAnsi="Arial" w:cs="Arial"/>
                      <w:szCs w:val="24"/>
                    </w:rPr>
                    <w:t>fonde</w:t>
                  </w:r>
                  <w:proofErr w:type="spellEnd"/>
                  <w:r w:rsidRPr="00116AF4">
                    <w:rPr>
                      <w:rFonts w:ascii="Arial" w:eastAsia="Times New Roman" w:hAnsi="Arial" w:cs="Arial"/>
                      <w:szCs w:val="24"/>
                    </w:rPr>
                    <w:t xml:space="preserve"> sur un </w:t>
                  </w:r>
                  <w:proofErr w:type="spellStart"/>
                  <w:r w:rsidRPr="00116AF4">
                    <w:rPr>
                      <w:rFonts w:ascii="Arial" w:eastAsia="Times New Roman" w:hAnsi="Arial" w:cs="Arial"/>
                      <w:szCs w:val="24"/>
                    </w:rPr>
                    <w:t>échantillon</w:t>
                  </w:r>
                  <w:proofErr w:type="spellEnd"/>
                  <w:r w:rsidRPr="00116AF4">
                    <w:rPr>
                      <w:rFonts w:ascii="Arial" w:eastAsia="Times New Roman" w:hAnsi="Arial" w:cs="Arial"/>
                      <w:szCs w:val="24"/>
                    </w:rPr>
                    <w:t xml:space="preserve"> de 100 ménages, </w:t>
                  </w:r>
                  <w:proofErr w:type="spellStart"/>
                  <w:r w:rsidRPr="00116AF4">
                    <w:rPr>
                      <w:rFonts w:ascii="Arial" w:eastAsia="Times New Roman" w:hAnsi="Arial" w:cs="Arial"/>
                      <w:szCs w:val="24"/>
                    </w:rPr>
                    <w:t>ayant</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ou</w:t>
                  </w:r>
                  <w:proofErr w:type="spellEnd"/>
                  <w:r w:rsidRPr="00116AF4">
                    <w:rPr>
                      <w:rFonts w:ascii="Arial" w:eastAsia="Times New Roman" w:hAnsi="Arial" w:cs="Arial"/>
                      <w:szCs w:val="24"/>
                    </w:rPr>
                    <w:t xml:space="preserve"> non </w:t>
                  </w:r>
                  <w:proofErr w:type="spellStart"/>
                  <w:r w:rsidRPr="00116AF4">
                    <w:rPr>
                      <w:rFonts w:ascii="Arial" w:eastAsia="Times New Roman" w:hAnsi="Arial" w:cs="Arial"/>
                      <w:szCs w:val="24"/>
                    </w:rPr>
                    <w:t>réalisé</w:t>
                  </w:r>
                  <w:proofErr w:type="spellEnd"/>
                  <w:r w:rsidRPr="00116AF4">
                    <w:rPr>
                      <w:rFonts w:ascii="Arial" w:eastAsia="Times New Roman" w:hAnsi="Arial" w:cs="Arial"/>
                      <w:szCs w:val="24"/>
                    </w:rPr>
                    <w:t xml:space="preserve"> des cessions de </w:t>
                  </w:r>
                  <w:proofErr w:type="spellStart"/>
                  <w:r w:rsidRPr="00116AF4">
                    <w:rPr>
                      <w:rFonts w:ascii="Arial" w:eastAsia="Times New Roman" w:hAnsi="Arial" w:cs="Arial"/>
                      <w:szCs w:val="24"/>
                    </w:rPr>
                    <w:t>terre</w:t>
                  </w:r>
                  <w:proofErr w:type="spellEnd"/>
                  <w:r w:rsidRPr="00116AF4">
                    <w:rPr>
                      <w:rFonts w:ascii="Arial" w:eastAsia="Times New Roman" w:hAnsi="Arial" w:cs="Arial"/>
                      <w:szCs w:val="24"/>
                    </w:rPr>
                    <w:t xml:space="preserve">. On ne </w:t>
                  </w:r>
                  <w:proofErr w:type="spellStart"/>
                  <w:r w:rsidRPr="00116AF4">
                    <w:rPr>
                      <w:rFonts w:ascii="Arial" w:eastAsia="Times New Roman" w:hAnsi="Arial" w:cs="Arial"/>
                      <w:szCs w:val="24"/>
                    </w:rPr>
                    <w:t>constate</w:t>
                  </w:r>
                  <w:proofErr w:type="spellEnd"/>
                  <w:r w:rsidRPr="00116AF4">
                    <w:rPr>
                      <w:rFonts w:ascii="Arial" w:eastAsia="Times New Roman" w:hAnsi="Arial" w:cs="Arial"/>
                      <w:szCs w:val="24"/>
                    </w:rPr>
                    <w:t xml:space="preserve"> pas </w:t>
                  </w:r>
                  <w:proofErr w:type="spellStart"/>
                  <w:r w:rsidRPr="00116AF4">
                    <w:rPr>
                      <w:rFonts w:ascii="Arial" w:eastAsia="Times New Roman" w:hAnsi="Arial" w:cs="Arial"/>
                      <w:szCs w:val="24"/>
                    </w:rPr>
                    <w:t>d'impact</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significatif</w:t>
                  </w:r>
                  <w:proofErr w:type="spellEnd"/>
                  <w:r w:rsidRPr="00116AF4">
                    <w:rPr>
                      <w:rFonts w:ascii="Arial" w:eastAsia="Times New Roman" w:hAnsi="Arial" w:cs="Arial"/>
                      <w:szCs w:val="24"/>
                    </w:rPr>
                    <w:t xml:space="preserve"> sur le </w:t>
                  </w:r>
                  <w:proofErr w:type="spellStart"/>
                  <w:r w:rsidRPr="00116AF4">
                    <w:rPr>
                      <w:rFonts w:ascii="Arial" w:eastAsia="Times New Roman" w:hAnsi="Arial" w:cs="Arial"/>
                      <w:szCs w:val="24"/>
                    </w:rPr>
                    <w:t>revenu</w:t>
                  </w:r>
                  <w:proofErr w:type="spellEnd"/>
                  <w:r w:rsidRPr="00116AF4">
                    <w:rPr>
                      <w:rFonts w:ascii="Arial" w:eastAsia="Times New Roman" w:hAnsi="Arial" w:cs="Arial"/>
                      <w:szCs w:val="24"/>
                    </w:rPr>
                    <w:t xml:space="preserve"> des ménages. Il </w:t>
                  </w:r>
                  <w:proofErr w:type="spellStart"/>
                  <w:r w:rsidRPr="00116AF4">
                    <w:rPr>
                      <w:rFonts w:ascii="Arial" w:eastAsia="Times New Roman" w:hAnsi="Arial" w:cs="Arial"/>
                      <w:szCs w:val="24"/>
                    </w:rPr>
                    <w:t>convient</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cependant</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d'émettre</w:t>
                  </w:r>
                  <w:proofErr w:type="spellEnd"/>
                  <w:r w:rsidRPr="00116AF4">
                    <w:rPr>
                      <w:rFonts w:ascii="Arial" w:eastAsia="Times New Roman" w:hAnsi="Arial" w:cs="Arial"/>
                      <w:szCs w:val="24"/>
                    </w:rPr>
                    <w:t xml:space="preserve"> des </w:t>
                  </w:r>
                  <w:proofErr w:type="spellStart"/>
                  <w:r w:rsidRPr="00116AF4">
                    <w:rPr>
                      <w:rFonts w:ascii="Arial" w:eastAsia="Times New Roman" w:hAnsi="Arial" w:cs="Arial"/>
                      <w:szCs w:val="24"/>
                    </w:rPr>
                    <w:t>réserves</w:t>
                  </w:r>
                  <w:proofErr w:type="spellEnd"/>
                  <w:r w:rsidRPr="00116AF4">
                    <w:rPr>
                      <w:rFonts w:ascii="Arial" w:eastAsia="Times New Roman" w:hAnsi="Arial" w:cs="Arial"/>
                      <w:szCs w:val="24"/>
                    </w:rPr>
                    <w:t xml:space="preserve"> sur la </w:t>
                  </w:r>
                  <w:proofErr w:type="spellStart"/>
                  <w:r w:rsidRPr="00116AF4">
                    <w:rPr>
                      <w:rFonts w:ascii="Arial" w:eastAsia="Times New Roman" w:hAnsi="Arial" w:cs="Arial"/>
                      <w:szCs w:val="24"/>
                    </w:rPr>
                    <w:t>portée</w:t>
                  </w:r>
                  <w:proofErr w:type="spellEnd"/>
                  <w:r w:rsidRPr="00116AF4">
                    <w:rPr>
                      <w:rFonts w:ascii="Arial" w:eastAsia="Times New Roman" w:hAnsi="Arial" w:cs="Arial"/>
                      <w:szCs w:val="24"/>
                    </w:rPr>
                    <w:t xml:space="preserve"> de </w:t>
                  </w:r>
                  <w:proofErr w:type="spellStart"/>
                  <w:r w:rsidRPr="00116AF4">
                    <w:rPr>
                      <w:rFonts w:ascii="Arial" w:eastAsia="Times New Roman" w:hAnsi="Arial" w:cs="Arial"/>
                      <w:szCs w:val="24"/>
                    </w:rPr>
                    <w:t>l'analyse</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remarques</w:t>
                  </w:r>
                  <w:proofErr w:type="spellEnd"/>
                  <w:r w:rsidRPr="00116AF4">
                    <w:rPr>
                      <w:rFonts w:ascii="Arial" w:eastAsia="Times New Roman" w:hAnsi="Arial" w:cs="Arial"/>
                      <w:szCs w:val="24"/>
                    </w:rPr>
                    <w:t xml:space="preserve"> sur la </w:t>
                  </w:r>
                  <w:proofErr w:type="spellStart"/>
                  <w:r w:rsidRPr="00116AF4">
                    <w:rPr>
                      <w:rFonts w:ascii="Arial" w:eastAsia="Times New Roman" w:hAnsi="Arial" w:cs="Arial"/>
                      <w:szCs w:val="24"/>
                    </w:rPr>
                    <w:t>période</w:t>
                  </w:r>
                  <w:proofErr w:type="spellEnd"/>
                  <w:r w:rsidRPr="00116AF4">
                    <w:rPr>
                      <w:rFonts w:ascii="Arial" w:eastAsia="Times New Roman" w:hAnsi="Arial" w:cs="Arial"/>
                      <w:szCs w:val="24"/>
                    </w:rPr>
                    <w:t xml:space="preserve"> et la </w:t>
                  </w:r>
                  <w:proofErr w:type="spellStart"/>
                  <w:r w:rsidRPr="00116AF4">
                    <w:rPr>
                      <w:rFonts w:ascii="Arial" w:eastAsia="Times New Roman" w:hAnsi="Arial" w:cs="Arial"/>
                      <w:szCs w:val="24"/>
                    </w:rPr>
                    <w:t>taille</w:t>
                  </w:r>
                  <w:proofErr w:type="spellEnd"/>
                  <w:r w:rsidRPr="00116AF4">
                    <w:rPr>
                      <w:rFonts w:ascii="Arial" w:eastAsia="Times New Roman" w:hAnsi="Arial" w:cs="Arial"/>
                      <w:szCs w:val="24"/>
                    </w:rPr>
                    <w:t xml:space="preserve"> de </w:t>
                  </w:r>
                  <w:proofErr w:type="spellStart"/>
                  <w:r w:rsidRPr="00116AF4">
                    <w:rPr>
                      <w:rFonts w:ascii="Arial" w:eastAsia="Times New Roman" w:hAnsi="Arial" w:cs="Arial"/>
                      <w:szCs w:val="24"/>
                    </w:rPr>
                    <w:t>d'échantillon</w:t>
                  </w:r>
                  <w:proofErr w:type="spellEnd"/>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977307"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7"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3" w:name="m_2775912902713410657__Toc522026459"/>
                  <w:proofErr w:type="spellStart"/>
                  <w:r w:rsidRPr="00116AF4">
                    <w:rPr>
                      <w:rFonts w:ascii="Calibri" w:eastAsia="Times New Roman" w:hAnsi="Calibri" w:cs="Calibri"/>
                      <w:b/>
                      <w:bCs/>
                      <w:color w:val="800000"/>
                      <w:sz w:val="22"/>
                    </w:rPr>
                    <w:t>Tenurial</w:t>
                  </w:r>
                  <w:proofErr w:type="spellEnd"/>
                  <w:r w:rsidRPr="00116AF4">
                    <w:rPr>
                      <w:rFonts w:ascii="Calibri" w:eastAsia="Times New Roman" w:hAnsi="Calibri" w:cs="Calibri"/>
                      <w:b/>
                      <w:bCs/>
                      <w:color w:val="800000"/>
                      <w:sz w:val="22"/>
                    </w:rPr>
                    <w:t xml:space="preserve"> security and agricultural investment: Evidence from Viet Nam.</w:t>
                  </w:r>
                  <w:bookmarkEnd w:id="13"/>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xml:space="preserve">Marc F. </w:t>
                  </w:r>
                  <w:proofErr w:type="spellStart"/>
                  <w:r w:rsidRPr="00116AF4">
                    <w:rPr>
                      <w:rFonts w:ascii="Arial" w:eastAsia="Times New Roman" w:hAnsi="Arial" w:cs="Arial"/>
                      <w:szCs w:val="24"/>
                    </w:rPr>
                    <w:t>Bellemare</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Kenn</w:t>
                  </w:r>
                  <w:proofErr w:type="spellEnd"/>
                  <w:r w:rsidRPr="00116AF4">
                    <w:rPr>
                      <w:rFonts w:ascii="Arial" w:eastAsia="Times New Roman" w:hAnsi="Arial" w:cs="Arial"/>
                      <w:szCs w:val="24"/>
                    </w:rPr>
                    <w:t xml:space="preserve"> Chua, </w:t>
                  </w:r>
                  <w:proofErr w:type="spellStart"/>
                  <w:r w:rsidRPr="00116AF4">
                    <w:rPr>
                      <w:rFonts w:ascii="Arial" w:eastAsia="Times New Roman" w:hAnsi="Arial" w:cs="Arial"/>
                      <w:szCs w:val="24"/>
                    </w:rPr>
                    <w:t>Julieth</w:t>
                  </w:r>
                  <w:proofErr w:type="spellEnd"/>
                  <w:r w:rsidRPr="00116AF4">
                    <w:rPr>
                      <w:rFonts w:ascii="Arial" w:eastAsia="Times New Roman" w:hAnsi="Arial" w:cs="Arial"/>
                      <w:szCs w:val="24"/>
                    </w:rPr>
                    <w:t xml:space="preserve"> Santamaria and </w:t>
                  </w:r>
                  <w:proofErr w:type="spellStart"/>
                  <w:r w:rsidRPr="00116AF4">
                    <w:rPr>
                      <w:rFonts w:ascii="Arial" w:eastAsia="Times New Roman" w:hAnsi="Arial" w:cs="Arial"/>
                      <w:szCs w:val="24"/>
                    </w:rPr>
                    <w:t>Khoa</w:t>
                  </w:r>
                  <w:proofErr w:type="spellEnd"/>
                  <w:r w:rsidRPr="00116AF4">
                    <w:rPr>
                      <w:rFonts w:ascii="Arial" w:eastAsia="Times New Roman" w:hAnsi="Arial" w:cs="Arial"/>
                      <w:szCs w:val="24"/>
                    </w:rPr>
                    <w:t xml:space="preserve"> Vu. UNU-WIDER Working Paper 76/2018,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8" w:tgtFrame="_blank" w:history="1">
                    <w:r w:rsidRPr="00116AF4">
                      <w:rPr>
                        <w:rFonts w:ascii="Arial" w:eastAsia="Times New Roman" w:hAnsi="Arial" w:cs="Arial"/>
                        <w:color w:val="1155CC"/>
                        <w:szCs w:val="24"/>
                        <w:u w:val="single"/>
                      </w:rPr>
                      <w:t>https://www.wider.unu.edu/publication/tenurial-security-and-agricultural-investment</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 Viet Nam, all lands belong to the state, who assigns usufruct rights to those lands to individuals and households. In 1993, the state gave 20-year usufruct rights to growers of annual crops, and 50-year usufruct rights to growers of perennial crops. In 2013, as the usufruct rights of growers of annual crops were set to expire, the Vietnamese government passed a law—the Land Law of 2013—that extended the usufruct rights of all landowners by 50 years. We exploit this largely unanticipated shock to study the effect of the Land Law of 2013 on the investment </w:t>
                  </w:r>
                  <w:proofErr w:type="spellStart"/>
                  <w:r w:rsidRPr="00116AF4">
                    <w:rPr>
                      <w:rFonts w:ascii="Arial" w:eastAsia="Times New Roman" w:hAnsi="Arial" w:cs="Arial"/>
                      <w:szCs w:val="24"/>
                    </w:rPr>
                    <w:t>behaviour</w:t>
                  </w:r>
                  <w:proofErr w:type="spellEnd"/>
                  <w:r w:rsidRPr="00116AF4">
                    <w:rPr>
                      <w:rFonts w:ascii="Arial" w:eastAsia="Times New Roman" w:hAnsi="Arial" w:cs="Arial"/>
                      <w:szCs w:val="24"/>
                    </w:rPr>
                    <w:t xml:space="preserve"> of growers of annual crops. Using a difference-in-differences design, we find that the Land Law of 2013 is associated with a higher likelihood of investment in irrigation technology or soil and water conservation, but not other types of investment. Our results are robust to controlling for endogenous switching from annual to perennial crops, and our data support the parallel trends assumption. Our results also suggest that the long-term effects of the Land Law of 2013 are larger than its short-term effects.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4" w:name="m_2775912902713410657__Toc522026460"/>
                  <w:r w:rsidRPr="00116AF4">
                    <w:rPr>
                      <w:rFonts w:ascii="Calibri" w:eastAsia="Times New Roman" w:hAnsi="Calibri" w:cs="Calibri"/>
                      <w:b/>
                      <w:bCs/>
                      <w:color w:val="800000"/>
                      <w:sz w:val="22"/>
                    </w:rPr>
                    <w:t>Development of Rice Promising Lines Using Genomic Technology and Information in Vietnam.</w:t>
                  </w:r>
                  <w:bookmarkEnd w:id="14"/>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Atsushi Yoshimura, </w:t>
                  </w:r>
                  <w:proofErr w:type="spellStart"/>
                  <w:r w:rsidRPr="00116AF4">
                    <w:rPr>
                      <w:rFonts w:ascii="Arial" w:eastAsia="Times New Roman" w:hAnsi="Arial" w:cs="Arial"/>
                      <w:szCs w:val="24"/>
                    </w:rPr>
                    <w:t>Hideshi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Yasui</w:t>
                  </w:r>
                  <w:proofErr w:type="spellEnd"/>
                  <w:r w:rsidRPr="00116AF4">
                    <w:rPr>
                      <w:rFonts w:ascii="Arial" w:eastAsia="Times New Roman" w:hAnsi="Arial" w:cs="Arial"/>
                      <w:szCs w:val="24"/>
                    </w:rPr>
                    <w:t xml:space="preserve">, Pham Van </w:t>
                  </w:r>
                  <w:proofErr w:type="spellStart"/>
                  <w:r w:rsidRPr="00116AF4">
                    <w:rPr>
                      <w:rFonts w:ascii="Arial" w:eastAsia="Times New Roman" w:hAnsi="Arial" w:cs="Arial"/>
                      <w:szCs w:val="24"/>
                    </w:rPr>
                    <w:t>Cuong</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Motoyuki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Ashikari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Enric</w:t>
                  </w:r>
                  <w:proofErr w:type="spellEnd"/>
                  <w:r w:rsidRPr="00116AF4">
                    <w:rPr>
                      <w:rFonts w:ascii="Arial" w:eastAsia="Times New Roman" w:hAnsi="Arial" w:cs="Arial"/>
                      <w:szCs w:val="24"/>
                    </w:rPr>
                    <w:t xml:space="preserve"> E. </w:t>
                  </w:r>
                  <w:proofErr w:type="spellStart"/>
                  <w:r w:rsidRPr="00116AF4">
                    <w:rPr>
                      <w:rFonts w:ascii="Arial" w:eastAsia="Times New Roman" w:hAnsi="Arial" w:cs="Arial"/>
                      <w:szCs w:val="24"/>
                    </w:rPr>
                    <w:t>Angeres</w:t>
                  </w:r>
                  <w:proofErr w:type="spellEnd"/>
                  <w:r w:rsidRPr="00116AF4">
                    <w:rPr>
                      <w:rFonts w:ascii="Arial" w:eastAsia="Times New Roman" w:hAnsi="Arial" w:cs="Arial"/>
                      <w:szCs w:val="24"/>
                    </w:rPr>
                    <w:t xml:space="preserve"> and others. </w:t>
                  </w:r>
                  <w:proofErr w:type="gramStart"/>
                  <w:r w:rsidRPr="00116AF4">
                    <w:rPr>
                      <w:rFonts w:ascii="Arial" w:eastAsia="Times New Roman" w:hAnsi="Arial" w:cs="Arial"/>
                      <w:szCs w:val="24"/>
                    </w:rPr>
                    <w:t>in</w:t>
                  </w:r>
                  <w:proofErr w:type="gramEnd"/>
                  <w:r w:rsidRPr="00116AF4">
                    <w:rPr>
                      <w:rFonts w:ascii="Arial" w:eastAsia="Times New Roman" w:hAnsi="Arial" w:cs="Arial"/>
                      <w:szCs w:val="24"/>
                    </w:rPr>
                    <w:t>: Crop Production under Stressful Conditions: Application of Cutting-edge Science and Technology in Developing Countries, Springer Singapore, Singapore, 2018, pp. 11-25.</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A project for “The Development of Crop Genotypes for the midlands and Mountain Areas of North Vietnam” was implemented from 2011 to 2015 under the scheme of Science and Technology Research Partnership for Sustainable Development (SATREPS) Project. Main objectives of the project were to develop promising lines of rice, which adapt to social and natural environmental conditions in Northern Vietnam. Based on the useful gene donors and DNA marker information provided by Japanese institutions, the project attempted to rapidly develop rice promising lines possessing useful agronomic traits such as short growth duration, high yield, and disease and insect resistance. Here, we introduce the background, progress and outputs of the project.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9"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15" w:name="m_2775912902713410657__Toc522026461"/>
                  <w:r w:rsidRPr="00116AF4">
                    <w:rPr>
                      <w:rFonts w:ascii="Arial" w:eastAsia="Times New Roman" w:hAnsi="Arial" w:cs="Arial"/>
                      <w:b/>
                      <w:bCs/>
                      <w:color w:val="FFFFFF"/>
                      <w:kern w:val="36"/>
                      <w:sz w:val="48"/>
                      <w:szCs w:val="48"/>
                    </w:rPr>
                    <w:t>ECONOMIC DEVELOPMENT</w:t>
                  </w:r>
                  <w:bookmarkEnd w:id="15"/>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6" w:name="m_2775912902713410657__Toc522026462"/>
                  <w:r w:rsidRPr="00116AF4">
                    <w:rPr>
                      <w:rFonts w:ascii="Calibri" w:eastAsia="Times New Roman" w:hAnsi="Calibri" w:cs="Calibri"/>
                      <w:b/>
                      <w:bCs/>
                      <w:color w:val="800000"/>
                      <w:sz w:val="22"/>
                    </w:rPr>
                    <w:t xml:space="preserve">Advancing digital financial inclusion in </w:t>
                  </w:r>
                  <w:proofErr w:type="gramStart"/>
                  <w:r w:rsidRPr="00116AF4">
                    <w:rPr>
                      <w:rFonts w:ascii="Calibri" w:eastAsia="Times New Roman" w:hAnsi="Calibri" w:cs="Calibri"/>
                      <w:b/>
                      <w:bCs/>
                      <w:color w:val="800000"/>
                      <w:sz w:val="22"/>
                    </w:rPr>
                    <w:t>ASEAN :</w:t>
                  </w:r>
                  <w:proofErr w:type="gramEnd"/>
                  <w:r w:rsidRPr="00116AF4">
                    <w:rPr>
                      <w:rFonts w:ascii="Calibri" w:eastAsia="Times New Roman" w:hAnsi="Calibri" w:cs="Calibri"/>
                      <w:b/>
                      <w:bCs/>
                      <w:color w:val="800000"/>
                      <w:sz w:val="22"/>
                    </w:rPr>
                    <w:t xml:space="preserve"> policy and regulatory enablers.</w:t>
                  </w:r>
                  <w:bookmarkEnd w:id="16"/>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Trujillo Tejada, Veronica Paola, </w:t>
                  </w:r>
                  <w:proofErr w:type="spellStart"/>
                  <w:r w:rsidRPr="00116AF4">
                    <w:rPr>
                      <w:rFonts w:ascii="Arial" w:eastAsia="Times New Roman" w:hAnsi="Arial" w:cs="Arial"/>
                      <w:szCs w:val="24"/>
                    </w:rPr>
                    <w:t>Djauhari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Sitorus</w:t>
                  </w:r>
                  <w:proofErr w:type="spellEnd"/>
                  <w:r w:rsidRPr="00116AF4">
                    <w:rPr>
                      <w:rFonts w:ascii="Arial" w:eastAsia="Times New Roman" w:hAnsi="Arial" w:cs="Arial"/>
                      <w:szCs w:val="24"/>
                    </w:rPr>
                    <w:t xml:space="preserve"> and Ana Maria Aviles. World Bank,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10" w:tgtFrame="_blank" w:history="1">
                    <w:r w:rsidRPr="00116AF4">
                      <w:rPr>
                        <w:rFonts w:ascii="Arial" w:eastAsia="Times New Roman" w:hAnsi="Arial" w:cs="Arial"/>
                        <w:color w:val="1155CC"/>
                        <w:szCs w:val="24"/>
                        <w:u w:val="single"/>
                      </w:rPr>
                      <w:t>http://documents.worldbank.org/curated/en/232971531750943775/Advancing-digital-financial-inclusion-in-ASEAN-policy-and-regulatory-enablers</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This report provides a cross-country overview of the policy and regulatory framework for digital financial services (DFS) in Association of Southeast Asian Nations (ASEAN) countries from a financial inclusion perspective. It was carried out at the request of the ASEAN Working Committee on Financial Inclusion (WC-FINC). The analysis is based on a regulatory survey conducted by the ASEAN WC-FINC, supplementary interviews with relevant regulatory authorities, and a literature review. For the purposes of this study, DFS consists of the range of services accessed and delivered through digital channels, including payments, savings, and credits (AFI 2015). The analysis uses as a methodological framework the foundations and catalytic pillars proposed by the Payment Aspects of Financial Inclusion report, or PAFI (World Bank 2016). This framework was adjusted to consider DFS more broadly and to focus on policies and regulations only.</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7" w:name="m_2775912902713410657__Toc522026463"/>
                  <w:r w:rsidRPr="00116AF4">
                    <w:rPr>
                      <w:rFonts w:ascii="Calibri" w:eastAsia="Times New Roman" w:hAnsi="Calibri" w:cs="Calibri"/>
                      <w:b/>
                      <w:bCs/>
                      <w:color w:val="800000"/>
                      <w:sz w:val="22"/>
                    </w:rPr>
                    <w:t>International Remittances and Poverty Reduction: Evidence from Asian Developing Countries.</w:t>
                  </w:r>
                  <w:bookmarkEnd w:id="17"/>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Naoyuki</w:t>
                  </w:r>
                  <w:proofErr w:type="spellEnd"/>
                  <w:r w:rsidRPr="00116AF4">
                    <w:rPr>
                      <w:rFonts w:ascii="Arial" w:eastAsia="Times New Roman" w:hAnsi="Arial" w:cs="Arial"/>
                      <w:szCs w:val="24"/>
                    </w:rPr>
                    <w:t xml:space="preserve"> Yoshino, </w:t>
                  </w:r>
                  <w:proofErr w:type="spellStart"/>
                  <w:r w:rsidRPr="00116AF4">
                    <w:rPr>
                      <w:rFonts w:ascii="Arial" w:eastAsia="Times New Roman" w:hAnsi="Arial" w:cs="Arial"/>
                      <w:szCs w:val="24"/>
                    </w:rPr>
                    <w:t>Farhad</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Taghizadeh-Hesary</w:t>
                  </w:r>
                  <w:proofErr w:type="spellEnd"/>
                  <w:r w:rsidRPr="00116AF4">
                    <w:rPr>
                      <w:rFonts w:ascii="Arial" w:eastAsia="Times New Roman" w:hAnsi="Arial" w:cs="Arial"/>
                      <w:szCs w:val="24"/>
                    </w:rPr>
                    <w:t xml:space="preserve"> and </w:t>
                  </w:r>
                  <w:proofErr w:type="spellStart"/>
                  <w:r w:rsidRPr="00116AF4">
                    <w:rPr>
                      <w:rFonts w:ascii="Arial" w:eastAsia="Times New Roman" w:hAnsi="Arial" w:cs="Arial"/>
                      <w:szCs w:val="24"/>
                    </w:rPr>
                    <w:t>Miyu</w:t>
                  </w:r>
                  <w:proofErr w:type="spellEnd"/>
                  <w:r w:rsidRPr="00116AF4">
                    <w:rPr>
                      <w:rFonts w:ascii="Arial" w:eastAsia="Times New Roman" w:hAnsi="Arial" w:cs="Arial"/>
                      <w:szCs w:val="24"/>
                    </w:rPr>
                    <w:t xml:space="preserve"> Otsuka. 759 ADBI Working Papers no, 2017.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11" w:tgtFrame="_blank" w:history="1">
                    <w:r w:rsidRPr="00116AF4">
                      <w:rPr>
                        <w:rFonts w:ascii="Arial" w:eastAsia="Times New Roman" w:hAnsi="Arial" w:cs="Arial"/>
                        <w:color w:val="1155CC"/>
                        <w:szCs w:val="24"/>
                        <w:u w:val="single"/>
                      </w:rPr>
                      <w:t>https://www.adb.org/publications/international-remittances-and-poverty-reduction</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xml:space="preserve">Abstract: A 1% increase in international remittances can reduce poverty severity by 16%. --- International remittances represent the second most important source of external funding for developing countries after foreign direct investment (FDI). We examine the impact of international remittances on poverty reduction using panel data for 10 Asian developing countries. In terms of the dependent variables, we set three poverty indicators: poverty headcount ratio, poverty gap ratio, and poverty severity ratio. Results show that international remittances have a statistically significant impact on the poverty gap ratio and poverty severity ratio under the random effect model of ordinary least squares (OLS) estimates. A 1% increase in international remittances as a percentage of gross domestic </w:t>
                  </w:r>
                  <w:proofErr w:type="gramStart"/>
                  <w:r w:rsidRPr="00116AF4">
                    <w:rPr>
                      <w:rFonts w:ascii="Arial" w:eastAsia="Times New Roman" w:hAnsi="Arial" w:cs="Arial"/>
                      <w:szCs w:val="24"/>
                    </w:rPr>
                    <w:t>product</w:t>
                  </w:r>
                  <w:proofErr w:type="gramEnd"/>
                  <w:r w:rsidRPr="00116AF4">
                    <w:rPr>
                      <w:rFonts w:ascii="Arial" w:eastAsia="Times New Roman" w:hAnsi="Arial" w:cs="Arial"/>
                      <w:szCs w:val="24"/>
                    </w:rPr>
                    <w:t xml:space="preserve"> (GDP) can lead to a 22.6% decline in the poverty gap ratio and a 16.0% decline in the poverty severity ratio in the sample of 10 Asian developing countries from 1981 to 2014. In addition, results show that per capita GDP increase and trade openness can decrease poverty measures, and higher inflation rates may be one of the causes of the poverty.</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12"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8" w:name="m_2775912902713410657__Toc522026464"/>
                  <w:r w:rsidRPr="00116AF4">
                    <w:rPr>
                      <w:rFonts w:ascii="Calibri" w:eastAsia="Times New Roman" w:hAnsi="Calibri" w:cs="Calibri"/>
                      <w:b/>
                      <w:bCs/>
                      <w:color w:val="800000"/>
                      <w:sz w:val="22"/>
                    </w:rPr>
                    <w:t>On sustainability and its perceptions: Presenting the results of the first national survey on Sustainable Development Goals and its understanding by Vietnamese youth.</w:t>
                  </w:r>
                  <w:bookmarkEnd w:id="18"/>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Abel </w:t>
                  </w:r>
                  <w:proofErr w:type="spellStart"/>
                  <w:r w:rsidRPr="00116AF4">
                    <w:rPr>
                      <w:rFonts w:ascii="Arial" w:eastAsia="Times New Roman" w:hAnsi="Arial" w:cs="Arial"/>
                      <w:szCs w:val="24"/>
                    </w:rPr>
                    <w:t>Polese</w:t>
                  </w:r>
                  <w:proofErr w:type="spellEnd"/>
                  <w:r w:rsidRPr="00116AF4">
                    <w:rPr>
                      <w:rFonts w:ascii="Arial" w:eastAsia="Times New Roman" w:hAnsi="Arial" w:cs="Arial"/>
                      <w:szCs w:val="24"/>
                    </w:rPr>
                    <w:t xml:space="preserve">, Don Tuan Phuong, </w:t>
                  </w:r>
                  <w:proofErr w:type="spellStart"/>
                  <w:r w:rsidRPr="00116AF4">
                    <w:rPr>
                      <w:rFonts w:ascii="Arial" w:eastAsia="Times New Roman" w:hAnsi="Arial" w:cs="Arial"/>
                      <w:szCs w:val="24"/>
                    </w:rPr>
                    <w:t>Tanel</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Kerikmae</w:t>
                  </w:r>
                  <w:proofErr w:type="spellEnd"/>
                  <w:r w:rsidRPr="00116AF4">
                    <w:rPr>
                      <w:rFonts w:ascii="Arial" w:eastAsia="Times New Roman" w:hAnsi="Arial" w:cs="Arial"/>
                      <w:szCs w:val="24"/>
                    </w:rPr>
                    <w:t xml:space="preserve"> and David </w:t>
                  </w:r>
                  <w:proofErr w:type="spellStart"/>
                  <w:r w:rsidRPr="00116AF4">
                    <w:rPr>
                      <w:rFonts w:ascii="Arial" w:eastAsia="Times New Roman" w:hAnsi="Arial" w:cs="Arial"/>
                      <w:szCs w:val="24"/>
                    </w:rPr>
                    <w:t>Troitino</w:t>
                  </w:r>
                  <w:proofErr w:type="spellEnd"/>
                  <w:r w:rsidRPr="00116AF4">
                    <w:rPr>
                      <w:rFonts w:ascii="Arial" w:eastAsia="Times New Roman" w:hAnsi="Arial" w:cs="Arial"/>
                      <w:szCs w:val="24"/>
                    </w:rPr>
                    <w:t>. RIVISTA DI STUDI SULLA SOSTENIBILITA,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Sustainable Development Goals are a worldwide concern. Indeed, to date, almost the </w:t>
                  </w:r>
                  <w:proofErr w:type="gramStart"/>
                  <w:r w:rsidRPr="00116AF4">
                    <w:rPr>
                      <w:rFonts w:ascii="Arial" w:eastAsia="Times New Roman" w:hAnsi="Arial" w:cs="Arial"/>
                      <w:szCs w:val="24"/>
                    </w:rPr>
                    <w:t>entirety of world countries have</w:t>
                  </w:r>
                  <w:proofErr w:type="gramEnd"/>
                  <w:r w:rsidRPr="00116AF4">
                    <w:rPr>
                      <w:rFonts w:ascii="Arial" w:eastAsia="Times New Roman" w:hAnsi="Arial" w:cs="Arial"/>
                      <w:szCs w:val="24"/>
                    </w:rPr>
                    <w:t xml:space="preserve"> formally committed to achieve them by 2030. Across world regions and countries, however, the extent to which they are addressed, and the means used to do so, vary substantially. While some governments have established appropriate offices and are seeking a dialogue with their citizens, others are lagging back, still reflecting on how this could be done. Keen to identify possible ways to address the SDGs at domestic level, the Vietnamese government, in cooperation with the UNDP, contracted the Center for Sustainable Development Studies to conduct the first ever national survey on perception of Sustainable Development Goals among Vietnamese young people. The current article presents the results of the survey, carried out between November 2017 and January 2018, during which the team collected 7116 responses from all the 64 administrative provinces of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19" w:name="m_2775912902713410657__Toc522026465"/>
                  <w:r w:rsidRPr="00116AF4">
                    <w:rPr>
                      <w:rFonts w:ascii="Calibri" w:eastAsia="Times New Roman" w:hAnsi="Calibri" w:cs="Calibri"/>
                      <w:b/>
                      <w:bCs/>
                      <w:color w:val="800000"/>
                      <w:sz w:val="22"/>
                    </w:rPr>
                    <w:lastRenderedPageBreak/>
                    <w:t>Ownership and Planning Capacity in the Asian-Style Development Cooperation: South Korean Knowledge Sharing Program to Vietnam.</w:t>
                  </w:r>
                  <w:bookmarkEnd w:id="19"/>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Pil</w:t>
                  </w:r>
                  <w:proofErr w:type="spellEnd"/>
                  <w:r w:rsidRPr="00116AF4">
                    <w:rPr>
                      <w:rFonts w:ascii="Arial" w:eastAsia="Times New Roman" w:hAnsi="Arial" w:cs="Arial"/>
                      <w:szCs w:val="24"/>
                    </w:rPr>
                    <w:t xml:space="preserve"> Ho Kim and </w:t>
                  </w:r>
                  <w:proofErr w:type="spellStart"/>
                  <w:r w:rsidRPr="00116AF4">
                    <w:rPr>
                      <w:rFonts w:ascii="Arial" w:eastAsia="Times New Roman" w:hAnsi="Arial" w:cs="Arial"/>
                      <w:szCs w:val="24"/>
                    </w:rPr>
                    <w:t>Woojin</w:t>
                  </w:r>
                  <w:proofErr w:type="spellEnd"/>
                  <w:r w:rsidRPr="00116AF4">
                    <w:rPr>
                      <w:rFonts w:ascii="Arial" w:eastAsia="Times New Roman" w:hAnsi="Arial" w:cs="Arial"/>
                      <w:szCs w:val="24"/>
                    </w:rPr>
                    <w:t xml:space="preserve"> Jung. Korea Observer, 2018, volume 49, number 2.</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The rise of Asian ODA donors - Japan, South Korea, China - and their divergence from traditional western donors put forward the question if a distinct Asian-style development cooperation is in the making. In this paper, we attempt to characterize the emergent Asian-style ODA based on donors’ own development experiences and assess its effectiveness in terms of fostering “true” ownership of development partners. One particular case, South Korea’s Knowledge Sharing Program to Vietnam, will illuminate the theoretical issues and practical challenges of the Asian-style ODA, which tends to avoid “political interference” while trying to increase capacities of development partners.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0" w:name="m_2775912902713410657__Toc522026466"/>
                  <w:r w:rsidRPr="00116AF4">
                    <w:rPr>
                      <w:rFonts w:ascii="Calibri" w:eastAsia="Times New Roman" w:hAnsi="Calibri" w:cs="Calibri"/>
                      <w:b/>
                      <w:bCs/>
                      <w:color w:val="800000"/>
                      <w:sz w:val="22"/>
                    </w:rPr>
                    <w:t>Using Solow and I–O models to determine the factors impacting economic growth in Ho Chi Minh City, Vietnam.</w:t>
                  </w:r>
                  <w:bookmarkEnd w:id="20"/>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Canh</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Nguyen. Asia-Pacific Journal of Regional Science,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13" w:tgtFrame="_blank" w:history="1">
                    <w:r w:rsidRPr="00116AF4">
                      <w:rPr>
                        <w:rFonts w:ascii="Arial" w:eastAsia="Times New Roman" w:hAnsi="Arial" w:cs="Arial"/>
                        <w:color w:val="1155CC"/>
                        <w:szCs w:val="24"/>
                        <w:u w:val="single"/>
                      </w:rPr>
                      <w:t>https://doi.org/10.1007/s41685-018-0094-0</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This study empirically investigates the determinants of economic growth in Ho Chi Minh City (HCMC) and its industry groups from 2006 and 2015 using the Solow model combined with input–output (I–O) tables. The results show that capital mainly contributes to a strong growth of the economy in HCMC. The findings also indicate an improvement in total factor productivity and its increasing contribution towards HCMC economic growth. In contrast, the contribution of labor towards HCMC economic growth is found to be reduced which transfer its significant role to TFP. This result implies that growth quality of HCMC has been lifted and has based more on human capital. The study also estimates contributing level of productive factors towards the growth of industry groups and backward linkage and forward linkage coefficients of product groups. Therefore, our research has implications for the local government to develop the sustainable economy in the future. [Canh-2018.pdf].</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14"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1" w:name="m_2775912902713410657__Toc522026467"/>
                  <w:r w:rsidRPr="00116AF4">
                    <w:rPr>
                      <w:rFonts w:ascii="Calibri" w:eastAsia="Times New Roman" w:hAnsi="Calibri" w:cs="Calibri"/>
                      <w:b/>
                      <w:bCs/>
                      <w:color w:val="800000"/>
                      <w:sz w:val="22"/>
                    </w:rPr>
                    <w:t>Are politically connected firms less constrained in credit markets?</w:t>
                  </w:r>
                  <w:bookmarkEnd w:id="21"/>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John Rand. UNU-WIDER Working Paper 200/2017, 2017.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15" w:tgtFrame="_blank" w:history="1">
                    <w:r w:rsidRPr="00116AF4">
                      <w:rPr>
                        <w:rFonts w:ascii="Arial" w:eastAsia="Times New Roman" w:hAnsi="Arial" w:cs="Arial"/>
                        <w:color w:val="1155CC"/>
                        <w:szCs w:val="24"/>
                        <w:u w:val="single"/>
                      </w:rPr>
                      <w:t>https://www.wider.unu.edu/publication/are-politically-connected-firms-less-constrained-credit-markets</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Utilizing a panel of over 2,000 Vietnamese SMEs over a 10-year period, we </w:t>
                  </w:r>
                  <w:proofErr w:type="spellStart"/>
                  <w:r w:rsidRPr="00116AF4">
                    <w:rPr>
                      <w:rFonts w:ascii="Arial" w:eastAsia="Times New Roman" w:hAnsi="Arial" w:cs="Arial"/>
                      <w:szCs w:val="24"/>
                    </w:rPr>
                    <w:t>analyse</w:t>
                  </w:r>
                  <w:proofErr w:type="spellEnd"/>
                  <w:r w:rsidRPr="00116AF4">
                    <w:rPr>
                      <w:rFonts w:ascii="Arial" w:eastAsia="Times New Roman" w:hAnsi="Arial" w:cs="Arial"/>
                      <w:szCs w:val="24"/>
                    </w:rPr>
                    <w:t xml:space="preserve"> the importance of being politically connected on both access and cost-of-credit obtained from formal financial institutions. Controlling for unobserved time-invariant firm-level heterogeneity, productivity self-selection concerns, and access to alternative credit markets, we show that political connections decreases the likelihood of being credit-constrained by 4 percentage points. Moreover, politically connected firms accessing credit face lower cost-of-capital than non-connected SMEs not excluded from formal financial markets. However, the impact of political connections is most valuable during periods of financial distress, but less prevalent during business cycle upswings.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2" w:name="m_2775912902713410657__Toc522026468"/>
                  <w:r w:rsidRPr="00116AF4">
                    <w:rPr>
                      <w:rFonts w:ascii="Calibri" w:eastAsia="Times New Roman" w:hAnsi="Calibri" w:cs="Calibri"/>
                      <w:b/>
                      <w:bCs/>
                      <w:color w:val="800000"/>
                      <w:sz w:val="22"/>
                    </w:rPr>
                    <w:t>Capital allocation, credit access, and firm growth in Viet Nam.</w:t>
                  </w:r>
                  <w:bookmarkEnd w:id="22"/>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Christina </w:t>
                  </w:r>
                  <w:proofErr w:type="spellStart"/>
                  <w:r w:rsidRPr="00116AF4">
                    <w:rPr>
                      <w:rFonts w:ascii="Arial" w:eastAsia="Times New Roman" w:hAnsi="Arial" w:cs="Arial"/>
                      <w:szCs w:val="24"/>
                    </w:rPr>
                    <w:t>Kinghan</w:t>
                  </w:r>
                  <w:proofErr w:type="spellEnd"/>
                  <w:r w:rsidRPr="00116AF4">
                    <w:rPr>
                      <w:rFonts w:ascii="Arial" w:eastAsia="Times New Roman" w:hAnsi="Arial" w:cs="Arial"/>
                      <w:szCs w:val="24"/>
                    </w:rPr>
                    <w:t xml:space="preserve">, Carol Newman and </w:t>
                  </w:r>
                  <w:proofErr w:type="spellStart"/>
                  <w:r w:rsidRPr="00116AF4">
                    <w:rPr>
                      <w:rFonts w:ascii="Arial" w:eastAsia="Times New Roman" w:hAnsi="Arial" w:cs="Arial"/>
                      <w:szCs w:val="24"/>
                    </w:rPr>
                    <w:t>Conor</w:t>
                  </w:r>
                  <w:proofErr w:type="spellEnd"/>
                  <w:r w:rsidRPr="00116AF4">
                    <w:rPr>
                      <w:rFonts w:ascii="Arial" w:eastAsia="Times New Roman" w:hAnsi="Arial" w:cs="Arial"/>
                      <w:szCs w:val="24"/>
                    </w:rPr>
                    <w:t xml:space="preserve"> M. O’Toole. UNU-WIDER Working Paper 67/2018,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16" w:tgtFrame="_blank" w:history="1">
                    <w:r w:rsidRPr="00116AF4">
                      <w:rPr>
                        <w:rFonts w:ascii="Arial" w:eastAsia="Times New Roman" w:hAnsi="Arial" w:cs="Arial"/>
                        <w:color w:val="1155CC"/>
                        <w:szCs w:val="24"/>
                        <w:u w:val="single"/>
                      </w:rPr>
                      <w:t>https://www.wider.unu.edu/publication/capital-allocation-credit-access-and-firm-growth-viet-nam</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 this paper, we explore the relationship between firm growth, access to finance, and the efficiency of capital allocation in Viet Nam over the period 2005–2015. Using data from the UNU-WIDER Viet Nam SME survey, we test whether firms with higher marginal returns to capital are more or less likely to get access to financing. This is a key test of how efficiently the financial system is functioning. We also test whether credit supply constraints are hindering capital allocation by limiting the investment and employment activities of firms with the highest marginal return on capital. A number of findings emerge. We find that high return investors, with the greatest marginal return on capital, have a lower likelihood of having formal finance (loans outstanding with formal credit institutions). We find evidence that rejected credit applications are limiting investment activity but not employment, particularly for firms with higher investment efficiency. This suggests a link between firm growth and </w:t>
                  </w:r>
                  <w:r w:rsidRPr="00116AF4">
                    <w:rPr>
                      <w:rFonts w:ascii="Arial" w:eastAsia="Times New Roman" w:hAnsi="Arial" w:cs="Arial"/>
                      <w:szCs w:val="24"/>
                    </w:rPr>
                    <w:lastRenderedPageBreak/>
                    <w:t>a suboptimal allocation of credit.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3" w:name="m_2775912902713410657__Toc522026469"/>
                  <w:r w:rsidRPr="00116AF4">
                    <w:rPr>
                      <w:rFonts w:ascii="Calibri" w:eastAsia="Times New Roman" w:hAnsi="Calibri" w:cs="Calibri"/>
                      <w:b/>
                      <w:bCs/>
                      <w:color w:val="800000"/>
                      <w:sz w:val="22"/>
                    </w:rPr>
                    <w:t>The exporting and subcontracting decisions of Viet Nam's small- and medium-sized enterprises.</w:t>
                  </w:r>
                  <w:bookmarkEnd w:id="23"/>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Catherine Y. Co, Thu Kim Nguyen, Tung </w:t>
                  </w:r>
                  <w:proofErr w:type="spellStart"/>
                  <w:r w:rsidRPr="00116AF4">
                    <w:rPr>
                      <w:rFonts w:ascii="Arial" w:eastAsia="Times New Roman" w:hAnsi="Arial" w:cs="Arial"/>
                      <w:szCs w:val="24"/>
                    </w:rPr>
                    <w:t>Nhu</w:t>
                  </w:r>
                  <w:proofErr w:type="spellEnd"/>
                  <w:r w:rsidRPr="00116AF4">
                    <w:rPr>
                      <w:rFonts w:ascii="Arial" w:eastAsia="Times New Roman" w:hAnsi="Arial" w:cs="Arial"/>
                      <w:szCs w:val="24"/>
                    </w:rPr>
                    <w:t xml:space="preserve"> Nguyen and Que </w:t>
                  </w:r>
                  <w:proofErr w:type="spellStart"/>
                  <w:r w:rsidRPr="00116AF4">
                    <w:rPr>
                      <w:rFonts w:ascii="Arial" w:eastAsia="Times New Roman" w:hAnsi="Arial" w:cs="Arial"/>
                      <w:szCs w:val="24"/>
                    </w:rPr>
                    <w:t>Nguyet</w:t>
                  </w:r>
                  <w:proofErr w:type="spellEnd"/>
                  <w:r w:rsidRPr="00116AF4">
                    <w:rPr>
                      <w:rFonts w:ascii="Arial" w:eastAsia="Times New Roman" w:hAnsi="Arial" w:cs="Arial"/>
                      <w:szCs w:val="24"/>
                    </w:rPr>
                    <w:t xml:space="preserve"> Tran. International Review of Economics &amp; Finance,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17" w:tgtFrame="_blank" w:history="1">
                    <w:r w:rsidRPr="00116AF4">
                      <w:rPr>
                        <w:rFonts w:ascii="Arial" w:eastAsia="Times New Roman" w:hAnsi="Arial" w:cs="Arial"/>
                        <w:color w:val="1155CC"/>
                        <w:szCs w:val="24"/>
                        <w:u w:val="single"/>
                      </w:rPr>
                      <w:t>http://www.sciencedirect.com/science/article/pii/S1059056017307220</w:t>
                    </w:r>
                  </w:hyperlink>
                  <w:r w:rsidRPr="00116AF4">
                    <w:rPr>
                      <w:rFonts w:ascii="Arial" w:eastAsia="Times New Roman" w:hAnsi="Arial" w:cs="Arial"/>
                      <w:szCs w:val="24"/>
                    </w:rPr>
                    <w:t> OR </w:t>
                  </w:r>
                  <w:hyperlink r:id="rId18" w:tgtFrame="_blank" w:history="1">
                    <w:r w:rsidRPr="00116AF4">
                      <w:rPr>
                        <w:rFonts w:ascii="Arial" w:eastAsia="Times New Roman" w:hAnsi="Arial" w:cs="Arial"/>
                        <w:color w:val="1155CC"/>
                        <w:szCs w:val="24"/>
                        <w:u w:val="single"/>
                      </w:rPr>
                      <w:t>https://www.wider.unu.edu/publication/exporting-and-subcontracting-decisions-viet-nams-small-and-medium-sized-enterprises</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exporting and subcontracting </w:t>
                  </w:r>
                  <w:proofErr w:type="gramStart"/>
                  <w:r w:rsidRPr="00116AF4">
                    <w:rPr>
                      <w:rFonts w:ascii="Arial" w:eastAsia="Times New Roman" w:hAnsi="Arial" w:cs="Arial"/>
                      <w:szCs w:val="24"/>
                    </w:rPr>
                    <w:t>decisions of a panel of Vietnamese private small- and medium-sized enterprises is</w:t>
                  </w:r>
                  <w:proofErr w:type="gramEnd"/>
                  <w:r w:rsidRPr="00116AF4">
                    <w:rPr>
                      <w:rFonts w:ascii="Arial" w:eastAsia="Times New Roman" w:hAnsi="Arial" w:cs="Arial"/>
                      <w:szCs w:val="24"/>
                    </w:rPr>
                    <w:t xml:space="preserve"> investigated. We find that among subcontractors, subcontracting is a supplementary rather than primary activity; the propensity to export increases with managers' or owners' knowledge of customs law; and, there is some evidence that subcontractors are more likely to have made product improvements while exporters are more likely to have adopted new processes or technologies. Our study provides useful insights into SME exporting and subcontracting strategies made more relevant by the expected reductions in trade costs associated with the World Trade Organization's Trade Facilitation Agreement.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19"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4" w:name="m_2775912902713410657__Toc522026470"/>
                  <w:r w:rsidRPr="00116AF4">
                    <w:rPr>
                      <w:rFonts w:ascii="Calibri" w:eastAsia="Times New Roman" w:hAnsi="Calibri" w:cs="Calibri"/>
                      <w:b/>
                      <w:bCs/>
                      <w:color w:val="800000"/>
                      <w:sz w:val="22"/>
                    </w:rPr>
                    <w:t>How important are management practices for the productivity of small and medium enterprises?</w:t>
                  </w:r>
                  <w:bookmarkEnd w:id="24"/>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Demenet</w:t>
                  </w:r>
                  <w:proofErr w:type="spellEnd"/>
                  <w:r w:rsidRPr="00116AF4">
                    <w:rPr>
                      <w:rFonts w:ascii="Arial" w:eastAsia="Times New Roman" w:hAnsi="Arial" w:cs="Arial"/>
                      <w:szCs w:val="24"/>
                    </w:rPr>
                    <w:t xml:space="preserve"> Axel and Hoang </w:t>
                  </w:r>
                  <w:proofErr w:type="spellStart"/>
                  <w:r w:rsidRPr="00116AF4">
                    <w:rPr>
                      <w:rFonts w:ascii="Arial" w:eastAsia="Times New Roman" w:hAnsi="Arial" w:cs="Arial"/>
                      <w:szCs w:val="24"/>
                    </w:rPr>
                    <w:t>Quynh</w:t>
                  </w:r>
                  <w:proofErr w:type="spellEnd"/>
                  <w:r w:rsidRPr="00116AF4">
                    <w:rPr>
                      <w:rFonts w:ascii="Arial" w:eastAsia="Times New Roman" w:hAnsi="Arial" w:cs="Arial"/>
                      <w:szCs w:val="24"/>
                    </w:rPr>
                    <w:t>. UNU-WIDER working paper 69/2018, Helsinki, Finland,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20" w:tgtFrame="_blank" w:history="1">
                    <w:r w:rsidRPr="00116AF4">
                      <w:rPr>
                        <w:rFonts w:ascii="Arial" w:eastAsia="Times New Roman" w:hAnsi="Arial" w:cs="Arial"/>
                        <w:color w:val="1155CC"/>
                        <w:szCs w:val="24"/>
                        <w:u w:val="single"/>
                      </w:rPr>
                      <w:t>https://www.wider.unu.edu/publication/how-important-are-management-practices-productivity-small-and-medium-enterprises</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Is the lack of "managerial capital", alongside human and financial capital, a constraint on the growth of firms in developing countries? The evidence on this is still mixed, especially among small and medium enterprises. --- This paper uses a panel of Vietnamese small and medium enterprises to investigate this question. We </w:t>
                  </w:r>
                  <w:r w:rsidRPr="00116AF4">
                    <w:rPr>
                      <w:rFonts w:ascii="Arial" w:eastAsia="Times New Roman" w:hAnsi="Arial" w:cs="Arial"/>
                      <w:szCs w:val="24"/>
                    </w:rPr>
                    <w:lastRenderedPageBreak/>
                    <w:t>build a multidimensional measure of managerial capital, combining both practices and attitudes, and link it with consistent estimates of firm-level productivity and mark-up. Even though bias may still affect the estimation of the overall influence of managerial capital on productivity, we show that there is a positive and significant association. --- Changes in management practices allow firms to be more efficient. Furthermore, we compare this association by firm size, and show that managerial capital is arguably as important for micro and small firms as it is for medium firms. Finally, it appears that the indicators related to &amp;</w:t>
                  </w:r>
                  <w:proofErr w:type="spellStart"/>
                  <w:r w:rsidRPr="00116AF4">
                    <w:rPr>
                      <w:rFonts w:ascii="Arial" w:eastAsia="Times New Roman" w:hAnsi="Arial" w:cs="Arial"/>
                      <w:szCs w:val="24"/>
                    </w:rPr>
                    <w:t>lsquo</w:t>
                  </w:r>
                  <w:proofErr w:type="gramStart"/>
                  <w:r w:rsidRPr="00116AF4">
                    <w:rPr>
                      <w:rFonts w:ascii="Arial" w:eastAsia="Times New Roman" w:hAnsi="Arial" w:cs="Arial"/>
                      <w:szCs w:val="24"/>
                    </w:rPr>
                    <w:t>;entrepreneurial</w:t>
                  </w:r>
                  <w:proofErr w:type="spellEnd"/>
                  <w:proofErr w:type="gramEnd"/>
                  <w:r w:rsidRPr="00116AF4">
                    <w:rPr>
                      <w:rFonts w:ascii="Arial" w:eastAsia="Times New Roman" w:hAnsi="Arial" w:cs="Arial"/>
                      <w:szCs w:val="24"/>
                    </w:rPr>
                    <w:t xml:space="preserve"> </w:t>
                  </w:r>
                  <w:proofErr w:type="spellStart"/>
                  <w:r w:rsidRPr="00116AF4">
                    <w:rPr>
                      <w:rFonts w:ascii="Arial" w:eastAsia="Times New Roman" w:hAnsi="Arial" w:cs="Arial"/>
                      <w:szCs w:val="24"/>
                    </w:rPr>
                    <w:t>attitudes&amp;rsquo</w:t>
                  </w:r>
                  <w:proofErr w:type="spellEnd"/>
                  <w:r w:rsidRPr="00116AF4">
                    <w:rPr>
                      <w:rFonts w:ascii="Arial" w:eastAsia="Times New Roman" w:hAnsi="Arial" w:cs="Arial"/>
                      <w:szCs w:val="24"/>
                    </w:rPr>
                    <w:t>; play a more important role than elementary business skills.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5" w:name="m_2775912902713410657__Toc522026471"/>
                  <w:r w:rsidRPr="00116AF4">
                    <w:rPr>
                      <w:rFonts w:ascii="Calibri" w:eastAsia="Times New Roman" w:hAnsi="Calibri" w:cs="Calibri"/>
                      <w:b/>
                      <w:bCs/>
                      <w:color w:val="800000"/>
                      <w:sz w:val="22"/>
                    </w:rPr>
                    <w:t>The interaction of institutional quality and human capital in shaping the dynamics of capital structure in Viet Nam.</w:t>
                  </w:r>
                  <w:bookmarkEnd w:id="25"/>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Enrico </w:t>
                  </w:r>
                  <w:proofErr w:type="spellStart"/>
                  <w:r w:rsidRPr="00116AF4">
                    <w:rPr>
                      <w:rFonts w:ascii="Arial" w:eastAsia="Times New Roman" w:hAnsi="Arial" w:cs="Arial"/>
                      <w:szCs w:val="24"/>
                    </w:rPr>
                    <w:t>Santarelli</w:t>
                  </w:r>
                  <w:proofErr w:type="spellEnd"/>
                  <w:r w:rsidRPr="00116AF4">
                    <w:rPr>
                      <w:rFonts w:ascii="Arial" w:eastAsia="Times New Roman" w:hAnsi="Arial" w:cs="Arial"/>
                      <w:szCs w:val="24"/>
                    </w:rPr>
                    <w:t xml:space="preserve"> and Hien Thu Tran. UNU-WIDER Working Paper 66/2018,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21" w:tgtFrame="_blank" w:history="1">
                    <w:r w:rsidRPr="00116AF4">
                      <w:rPr>
                        <w:rFonts w:ascii="Arial" w:eastAsia="Times New Roman" w:hAnsi="Arial" w:cs="Arial"/>
                        <w:color w:val="1155CC"/>
                        <w:szCs w:val="24"/>
                        <w:u w:val="single"/>
                      </w:rPr>
                      <w:t>https://www.wider.unu.edu/publication/interaction-institutional-quality-and-human-capital-shaping-dynamics-capital-structure</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aim of this paper is to find which of two theories of capital structure—trade-off theory or pecking order theory—best explains the capital structure decision of non-state firms during the post-transition process in Viet Nam. We also investigate the effect of human capital, institutional quality, and their interaction on the capital structure decision. For empirical evidence, we use a unique database provided by the CIEM-DANIDA project covering </w:t>
                  </w:r>
                  <w:proofErr w:type="gramStart"/>
                  <w:r w:rsidRPr="00116AF4">
                    <w:rPr>
                      <w:rFonts w:ascii="Arial" w:eastAsia="Times New Roman" w:hAnsi="Arial" w:cs="Arial"/>
                      <w:szCs w:val="24"/>
                    </w:rPr>
                    <w:t>around 2,000 micro,</w:t>
                  </w:r>
                  <w:proofErr w:type="gramEnd"/>
                  <w:r w:rsidRPr="00116AF4">
                    <w:rPr>
                      <w:rFonts w:ascii="Arial" w:eastAsia="Times New Roman" w:hAnsi="Arial" w:cs="Arial"/>
                      <w:szCs w:val="24"/>
                    </w:rPr>
                    <w:t xml:space="preserve"> small, and medium-sized enterprises in Viet Nam for each year from 2003 to 2014. We estimate our empirical models by employing the System Generalized Method of Moments estimator. --- Our findings suggest that the capital structure of Vietnamese firms is a balance between the trade-off theory and the pecking order theory. On one hand, accessing formal debts is extremely tough for young and non-state firms; they bootstrap themselves out of financial constraints by stretching and making the most of their internal resources and assets. On the other hand, those with access to formal sources take advantage of leverage tools from using formal loans to exploit the tax benefits against the costs of financial distress. --- Other noteworthy findings include: (</w:t>
                  </w:r>
                  <w:proofErr w:type="spellStart"/>
                  <w:r w:rsidRPr="00116AF4">
                    <w:rPr>
                      <w:rFonts w:ascii="Arial" w:eastAsia="Times New Roman" w:hAnsi="Arial" w:cs="Arial"/>
                      <w:szCs w:val="24"/>
                    </w:rPr>
                    <w:t>i</w:t>
                  </w:r>
                  <w:proofErr w:type="spellEnd"/>
                  <w:r w:rsidRPr="00116AF4">
                    <w:rPr>
                      <w:rFonts w:ascii="Arial" w:eastAsia="Times New Roman" w:hAnsi="Arial" w:cs="Arial"/>
                      <w:szCs w:val="24"/>
                    </w:rPr>
                    <w:t xml:space="preserve">) profitability and debt tax shields are no longer significantly important when entrepreneurs adopt informal debt financing; (ii) high-quality institutions with transparent and fair credit rationing rules will enable firms to reduce their reliance on debt financing; and (iii) while human capital encourages entrepreneurs to obtain more loans, its interaction with institutional quality deters debt financing and </w:t>
                  </w:r>
                  <w:proofErr w:type="spellStart"/>
                  <w:r w:rsidRPr="00116AF4">
                    <w:rPr>
                      <w:rFonts w:ascii="Arial" w:eastAsia="Times New Roman" w:hAnsi="Arial" w:cs="Arial"/>
                      <w:szCs w:val="24"/>
                    </w:rPr>
                    <w:t>favours</w:t>
                  </w:r>
                  <w:proofErr w:type="spellEnd"/>
                  <w:r w:rsidRPr="00116AF4">
                    <w:rPr>
                      <w:rFonts w:ascii="Arial" w:eastAsia="Times New Roman" w:hAnsi="Arial" w:cs="Arial"/>
                      <w:szCs w:val="24"/>
                    </w:rPr>
                    <w:t xml:space="preserve"> other financial sources.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6" w:name="m_2775912902713410657__Toc522026472"/>
                  <w:r w:rsidRPr="00116AF4">
                    <w:rPr>
                      <w:rFonts w:ascii="Calibri" w:eastAsia="Times New Roman" w:hAnsi="Calibri" w:cs="Calibri"/>
                      <w:b/>
                      <w:bCs/>
                      <w:color w:val="800000"/>
                      <w:sz w:val="22"/>
                    </w:rPr>
                    <w:t>Resource misallocation of SMEs in Vietnamese manufacturing sector.</w:t>
                  </w:r>
                  <w:bookmarkEnd w:id="26"/>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xml:space="preserve">Nguyen Phuong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and Nguyen Minh </w:t>
                  </w:r>
                  <w:proofErr w:type="spellStart"/>
                  <w:r w:rsidRPr="00116AF4">
                    <w:rPr>
                      <w:rFonts w:ascii="Arial" w:eastAsia="Times New Roman" w:hAnsi="Arial" w:cs="Arial"/>
                      <w:szCs w:val="24"/>
                    </w:rPr>
                    <w:t>Khac</w:t>
                  </w:r>
                  <w:proofErr w:type="spellEnd"/>
                  <w:r w:rsidRPr="00116AF4">
                    <w:rPr>
                      <w:rFonts w:ascii="Arial" w:eastAsia="Times New Roman" w:hAnsi="Arial" w:cs="Arial"/>
                      <w:szCs w:val="24"/>
                    </w:rPr>
                    <w:t>. Journal of Small Business and Enterprise Development.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Purpose The purpose of this paper is to examine resource misallocation among Vietnam’s small- and medium-sized enterprises (SMEs) in the manufacturing sector. The paper also aims to consider selective factors on reducing the level of resource misallocation in SMEs. Design/methodology/approach Resource misallocation and efficiency gains in total factor productivity (TFP) are assessed using Vietnam’s annual enterprise survey data for the period 2000–2015 and an appropriate productivity decomposition framework. Findings Resource misallocation is found to be higher among SMEs than large scale enterprises. TFP is found to 116.3 per cent greater if there is no resource misallocation among SMEs. Smaller scale, lower market concentration, trade </w:t>
                  </w:r>
                  <w:proofErr w:type="spellStart"/>
                  <w:r w:rsidRPr="00116AF4">
                    <w:rPr>
                      <w:rFonts w:ascii="Arial" w:eastAsia="Times New Roman" w:hAnsi="Arial" w:cs="Arial"/>
                      <w:szCs w:val="24"/>
                    </w:rPr>
                    <w:t>liberalisation</w:t>
                  </w:r>
                  <w:proofErr w:type="spellEnd"/>
                  <w:r w:rsidRPr="00116AF4">
                    <w:rPr>
                      <w:rFonts w:ascii="Arial" w:eastAsia="Times New Roman" w:hAnsi="Arial" w:cs="Arial"/>
                      <w:szCs w:val="24"/>
                    </w:rPr>
                    <w:t xml:space="preserve"> and corruption control are found to be associated with lower level of resource misallocation in SMEs. Research limitations/implications The major limitation of this study is that it has only decomposed misallocation of resources arising from output and capital distortions and that it focusses on selective factors contribution to reducing misallocation level in SMEs. Originality/value Resource misallocation is attracting attention in both developed and developing countries. However, knowledge about resource misallocation among SMEs is limited, particularly in the context of developing countries. This paper assesses the level of resource misallocation among SMEs in Vietnamese manufacturing sector.</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22"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7" w:name="m_2775912902713410657__Toc522026473"/>
                  <w:r w:rsidRPr="00116AF4">
                    <w:rPr>
                      <w:rFonts w:ascii="Calibri" w:eastAsia="Times New Roman" w:hAnsi="Calibri" w:cs="Calibri"/>
                      <w:b/>
                      <w:bCs/>
                      <w:color w:val="800000"/>
                      <w:sz w:val="22"/>
                    </w:rPr>
                    <w:t>Why do household businesses in Viet Nam stay informal?</w:t>
                  </w:r>
                  <w:bookmarkEnd w:id="27"/>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Bich</w:t>
                  </w:r>
                  <w:proofErr w:type="spellEnd"/>
                  <w:r w:rsidRPr="00116AF4">
                    <w:rPr>
                      <w:rFonts w:ascii="Arial" w:eastAsia="Times New Roman" w:hAnsi="Arial" w:cs="Arial"/>
                      <w:szCs w:val="24"/>
                    </w:rPr>
                    <w:t xml:space="preserve"> Tran and Hai Anh La. UNU-WIDER Working Paper 64/2018,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23" w:tgtFrame="_blank" w:history="1">
                    <w:r w:rsidRPr="00116AF4">
                      <w:rPr>
                        <w:rFonts w:ascii="Arial" w:eastAsia="Times New Roman" w:hAnsi="Arial" w:cs="Arial"/>
                        <w:color w:val="1155CC"/>
                        <w:szCs w:val="24"/>
                        <w:u w:val="single"/>
                      </w:rPr>
                      <w:t>https://www.wider.unu.edu/publication/why-do-household-businesses-viet-nam-stay-informal</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Using unbalanced panel data from the small and medium enterprise surveys in Viet Nam in 2005, 2007, 2009, 2011, 2013, and 2015, this paper investigates factors associated with informality in Viet Nam. We assume that household businesses, especially the top tier firms, become formal either because they perceive benefits of formalization such as an increase in the household </w:t>
                  </w:r>
                  <w:r w:rsidRPr="00116AF4">
                    <w:rPr>
                      <w:rFonts w:ascii="Arial" w:eastAsia="Times New Roman" w:hAnsi="Arial" w:cs="Arial"/>
                      <w:szCs w:val="24"/>
                    </w:rPr>
                    <w:lastRenderedPageBreak/>
                    <w:t>performance, or because they want to escape bribes and harassment. Using the random effects model with controlling for the pre-formalization trends, our results show that productive household businesses stay informal because net costs from tax payment may surpass net benefits from formalization. Moreover, government controls do not promote formalization, especially among the ‘upper’ tiers of informal households. Our findings raise a suspicion of collusion corruption between informal households in the top tiers and government tax officials. This opens room for future qualitative and quantitative studies to investigate collusion corruption as a determinant of informality in developing countries.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8" w:name="m_2775912902713410657__Toc522026474"/>
                  <w:r w:rsidRPr="00116AF4">
                    <w:rPr>
                      <w:rFonts w:ascii="Calibri" w:eastAsia="Times New Roman" w:hAnsi="Calibri" w:cs="Calibri"/>
                      <w:b/>
                      <w:bCs/>
                      <w:color w:val="800000"/>
                      <w:sz w:val="22"/>
                    </w:rPr>
                    <w:t>The Cambodia-Laos-Vietnam Development Triangle Area.</w:t>
                  </w:r>
                  <w:bookmarkEnd w:id="28"/>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Vannarith</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Chheang</w:t>
                  </w:r>
                  <w:proofErr w:type="spellEnd"/>
                  <w:r w:rsidRPr="00116AF4">
                    <w:rPr>
                      <w:rFonts w:ascii="Arial" w:eastAsia="Times New Roman" w:hAnsi="Arial" w:cs="Arial"/>
                      <w:szCs w:val="24"/>
                    </w:rPr>
                    <w:t xml:space="preserve">. ISEAS </w:t>
                  </w:r>
                  <w:proofErr w:type="spellStart"/>
                  <w:r w:rsidRPr="00116AF4">
                    <w:rPr>
                      <w:rFonts w:ascii="Arial" w:eastAsia="Times New Roman" w:hAnsi="Arial" w:cs="Arial"/>
                      <w:szCs w:val="24"/>
                    </w:rPr>
                    <w:t>perpective</w:t>
                  </w:r>
                  <w:proofErr w:type="spellEnd"/>
                  <w:r w:rsidRPr="00116AF4">
                    <w:rPr>
                      <w:rFonts w:ascii="Arial" w:eastAsia="Times New Roman" w:hAnsi="Arial" w:cs="Arial"/>
                      <w:szCs w:val="24"/>
                    </w:rPr>
                    <w:t>, 2018, volume 30.</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24" w:tgtFrame="_blank" w:history="1">
                    <w:r w:rsidRPr="00116AF4">
                      <w:rPr>
                        <w:rFonts w:ascii="Arial" w:eastAsia="Times New Roman" w:hAnsi="Arial" w:cs="Arial"/>
                        <w:color w:val="1155CC"/>
                        <w:szCs w:val="24"/>
                        <w:u w:val="single"/>
                      </w:rPr>
                      <w:t>https://think-asia.org/handle/11540/8397</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 March this year, leaders from Cambodia, Laos, and Vietnam gathered in Hanoi for their tenth biannual summit, focused on deepening comprehensive cooperation among the three countries and building “integrated, sustainable and prosperous CLV economies”, which is believed to be an “indispensable part of ASEAN Community Vision 2025”. The leaders declared a new chapter in the Cambodia-Laos-Vietnam Development Triangle Area (CLV-DTA) based on the fact that it was the first time that ASEAN, the Asian Development Bank (ADB), and the World Bank (WB) attended the summit—illustrating the increasing interest from regional and global institutions in the development triangle. At the summit, the Vietnamese chair highlighted the achievements of the cooperation </w:t>
                  </w:r>
                  <w:proofErr w:type="spellStart"/>
                  <w:r w:rsidRPr="00116AF4">
                    <w:rPr>
                      <w:rFonts w:ascii="Arial" w:eastAsia="Times New Roman" w:hAnsi="Arial" w:cs="Arial"/>
                      <w:szCs w:val="24"/>
                    </w:rPr>
                    <w:t>programmes</w:t>
                  </w:r>
                  <w:proofErr w:type="spellEnd"/>
                  <w:r w:rsidRPr="00116AF4">
                    <w:rPr>
                      <w:rFonts w:ascii="Arial" w:eastAsia="Times New Roman" w:hAnsi="Arial" w:cs="Arial"/>
                      <w:szCs w:val="24"/>
                    </w:rPr>
                    <w:t xml:space="preserve"> especially in socio-economic development involving 13 border provinces. The three countries lauded the benefits in the areas of security and politics, economy, and education, which had helped to reduce development disparities among the localities.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29" w:name="m_2775912902713410657__Toc522026475"/>
                  <w:r w:rsidRPr="00116AF4">
                    <w:rPr>
                      <w:rFonts w:ascii="Calibri" w:eastAsia="Times New Roman" w:hAnsi="Calibri" w:cs="Calibri"/>
                      <w:b/>
                      <w:bCs/>
                      <w:color w:val="800000"/>
                      <w:sz w:val="22"/>
                    </w:rPr>
                    <w:t xml:space="preserve">Implementation of the WTO Agreement on Customs Valuation in </w:t>
                  </w:r>
                  <w:proofErr w:type="gramStart"/>
                  <w:r w:rsidRPr="00116AF4">
                    <w:rPr>
                      <w:rFonts w:ascii="Calibri" w:eastAsia="Times New Roman" w:hAnsi="Calibri" w:cs="Calibri"/>
                      <w:b/>
                      <w:bCs/>
                      <w:color w:val="800000"/>
                      <w:sz w:val="22"/>
                    </w:rPr>
                    <w:t>Vietnam :</w:t>
                  </w:r>
                  <w:proofErr w:type="gramEnd"/>
                  <w:r w:rsidRPr="00116AF4">
                    <w:rPr>
                      <w:rFonts w:ascii="Calibri" w:eastAsia="Times New Roman" w:hAnsi="Calibri" w:cs="Calibri"/>
                      <w:b/>
                      <w:bCs/>
                      <w:color w:val="800000"/>
                      <w:sz w:val="22"/>
                    </w:rPr>
                    <w:t xml:space="preserve"> Trade Integration and Local Compliance at Da Nang Port.</w:t>
                  </w:r>
                  <w:bookmarkEnd w:id="29"/>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Doan Hong Le, </w:t>
                  </w:r>
                  <w:proofErr w:type="spellStart"/>
                  <w:r w:rsidRPr="00116AF4">
                    <w:rPr>
                      <w:rFonts w:ascii="Arial" w:eastAsia="Times New Roman" w:hAnsi="Arial" w:cs="Arial"/>
                      <w:szCs w:val="24"/>
                    </w:rPr>
                    <w:t>Anand</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Nayyar</w:t>
                  </w:r>
                  <w:proofErr w:type="spellEnd"/>
                  <w:r w:rsidRPr="00116AF4">
                    <w:rPr>
                      <w:rFonts w:ascii="Arial" w:eastAsia="Times New Roman" w:hAnsi="Arial" w:cs="Arial"/>
                      <w:szCs w:val="24"/>
                    </w:rPr>
                    <w:t xml:space="preserve"> and </w:t>
                  </w:r>
                  <w:proofErr w:type="spellStart"/>
                  <w:r w:rsidRPr="00116AF4">
                    <w:rPr>
                      <w:rFonts w:ascii="Arial" w:eastAsia="Times New Roman" w:hAnsi="Arial" w:cs="Arial"/>
                      <w:szCs w:val="24"/>
                    </w:rPr>
                    <w:t>Nhung</w:t>
                  </w:r>
                  <w:proofErr w:type="spellEnd"/>
                  <w:r w:rsidRPr="00116AF4">
                    <w:rPr>
                      <w:rFonts w:ascii="Arial" w:eastAsia="Times New Roman" w:hAnsi="Arial" w:cs="Arial"/>
                      <w:szCs w:val="24"/>
                    </w:rPr>
                    <w:t xml:space="preserve"> Le Rots. Indian Journal of Finance, 2018, volume 12, number 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WTO customs valuation under the Customs Valuation Agreement (CVA) contained in GATT 1994 is very recent in Vietnam and is now getting more detailed scrutiny and implementations via revised procedures and regulations. The Customs </w:t>
                  </w:r>
                  <w:r w:rsidRPr="00116AF4">
                    <w:rPr>
                      <w:rFonts w:ascii="Arial" w:eastAsia="Times New Roman" w:hAnsi="Arial" w:cs="Arial"/>
                      <w:szCs w:val="24"/>
                    </w:rPr>
                    <w:lastRenderedPageBreak/>
                    <w:t>Valuation Agreement lays strong foundation for enhancing global trade relations. Vietnam implemented the WTO Customs Valuation Agreement through the 2007 Customs Law and related regulations, which improvised the customs valuation process. Apart from being highly positive, U.S. exporters cited various issues with regard to its inefficiency, unclear policies, and corruption. The objective of this research paper was to provide a detailed overview of the impact of the Customs Valuation Agreement (CVA) on trade policy in Vietnam and to evaluate the impact of CVA on trade integration. In this research paper, we presented a detailed analysis of the study conducted at the Port of Da Nang to evaluate the Customs Valuation Agreement. The study conducted proved that the CVA policy still has certain limitations and requires revisions. The paper also recommended certain points regarding improvements towards the CVA policy to make it preferable towards international trading in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25"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30" w:name="m_2775912902713410657__Toc522026476"/>
                  <w:r w:rsidRPr="00116AF4">
                    <w:rPr>
                      <w:rFonts w:ascii="Arial" w:eastAsia="Times New Roman" w:hAnsi="Arial" w:cs="Arial"/>
                      <w:b/>
                      <w:bCs/>
                      <w:color w:val="FFFFFF"/>
                      <w:kern w:val="36"/>
                      <w:sz w:val="48"/>
                      <w:szCs w:val="48"/>
                    </w:rPr>
                    <w:t>EDUCATION</w:t>
                  </w:r>
                  <w:bookmarkEnd w:id="30"/>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31" w:name="m_2775912902713410657__Toc522026477"/>
                  <w:r w:rsidRPr="00116AF4">
                    <w:rPr>
                      <w:rFonts w:ascii="Calibri" w:eastAsia="Times New Roman" w:hAnsi="Calibri" w:cs="Calibri"/>
                      <w:b/>
                      <w:bCs/>
                      <w:color w:val="800000"/>
                      <w:sz w:val="22"/>
                    </w:rPr>
                    <w:t xml:space="preserve">Challenges of </w:t>
                  </w:r>
                  <w:proofErr w:type="spellStart"/>
                  <w:r w:rsidRPr="00116AF4">
                    <w:rPr>
                      <w:rFonts w:ascii="Calibri" w:eastAsia="Times New Roman" w:hAnsi="Calibri" w:cs="Calibri"/>
                      <w:b/>
                      <w:bCs/>
                      <w:color w:val="800000"/>
                      <w:sz w:val="22"/>
                    </w:rPr>
                    <w:t>Massification</w:t>
                  </w:r>
                  <w:proofErr w:type="spellEnd"/>
                  <w:r w:rsidRPr="00116AF4">
                    <w:rPr>
                      <w:rFonts w:ascii="Calibri" w:eastAsia="Times New Roman" w:hAnsi="Calibri" w:cs="Calibri"/>
                      <w:b/>
                      <w:bCs/>
                      <w:color w:val="800000"/>
                      <w:sz w:val="22"/>
                    </w:rPr>
                    <w:t xml:space="preserve"> in Higher Education: The Case of Vietnam.</w:t>
                  </w:r>
                  <w:bookmarkEnd w:id="31"/>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Nguyen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My Ngoc and John N. Hawkins. </w:t>
                  </w:r>
                  <w:proofErr w:type="gramStart"/>
                  <w:r w:rsidRPr="00116AF4">
                    <w:rPr>
                      <w:rFonts w:ascii="Arial" w:eastAsia="Times New Roman" w:hAnsi="Arial" w:cs="Arial"/>
                      <w:szCs w:val="24"/>
                    </w:rPr>
                    <w:t>in</w:t>
                  </w:r>
                  <w:proofErr w:type="gramEnd"/>
                  <w:r w:rsidRPr="00116AF4">
                    <w:rPr>
                      <w:rFonts w:ascii="Arial" w:eastAsia="Times New Roman" w:hAnsi="Arial" w:cs="Arial"/>
                      <w:szCs w:val="24"/>
                    </w:rPr>
                    <w:t xml:space="preserve">: </w:t>
                  </w:r>
                  <w:proofErr w:type="spellStart"/>
                  <w:r w:rsidRPr="00116AF4">
                    <w:rPr>
                      <w:rFonts w:ascii="Arial" w:eastAsia="Times New Roman" w:hAnsi="Arial" w:cs="Arial"/>
                      <w:szCs w:val="24"/>
                    </w:rPr>
                    <w:t>Massification</w:t>
                  </w:r>
                  <w:proofErr w:type="spellEnd"/>
                  <w:r w:rsidRPr="00116AF4">
                    <w:rPr>
                      <w:rFonts w:ascii="Arial" w:eastAsia="Times New Roman" w:hAnsi="Arial" w:cs="Arial"/>
                      <w:szCs w:val="24"/>
                    </w:rPr>
                    <w:t xml:space="preserve"> of Higher Education in Asia: Consequences, Policy Responses and Changing Governance, Springer Singapore, Singapore, 2018, pp. 103-112.</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In response to globalization, over the past two decades, a great deal of attention has been paid to higher education reforms in Southeast Asia. A number of countries have embarked on major reforms with the aim of developing a modern higher education system that can support the economic and social development and facilitate enhanced international trade and communication.</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32" w:name="m_2775912902713410657__Toc522026478"/>
                  <w:r w:rsidRPr="00116AF4">
                    <w:rPr>
                      <w:rFonts w:ascii="Calibri" w:eastAsia="Times New Roman" w:hAnsi="Calibri" w:cs="Calibri"/>
                      <w:b/>
                      <w:bCs/>
                      <w:color w:val="800000"/>
                      <w:sz w:val="22"/>
                    </w:rPr>
                    <w:t>Game of blames: Higher education stakeholders’ perceptions of causes of Vietnamese graduates’ skills gap.</w:t>
                  </w:r>
                  <w:bookmarkEnd w:id="32"/>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Le </w:t>
                  </w:r>
                  <w:proofErr w:type="spellStart"/>
                  <w:r w:rsidRPr="00116AF4">
                    <w:rPr>
                      <w:rFonts w:ascii="Arial" w:eastAsia="Times New Roman" w:hAnsi="Arial" w:cs="Arial"/>
                      <w:szCs w:val="24"/>
                    </w:rPr>
                    <w:t>Huu</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Nghia</w:t>
                  </w:r>
                  <w:proofErr w:type="spellEnd"/>
                  <w:r w:rsidRPr="00116AF4">
                    <w:rPr>
                      <w:rFonts w:ascii="Arial" w:eastAsia="Times New Roman" w:hAnsi="Arial" w:cs="Arial"/>
                      <w:szCs w:val="24"/>
                    </w:rPr>
                    <w:t xml:space="preserve"> Tran. International Journal of Educational Development, 2018, volume 62, pp. 302-312.</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Abstract: This article reports a mixed-method study that explored higher education stakeholders’ perceptions of the causes of Vietnamese graduates’ skills gap. Email interviews with 38 stakeholders and a survey with the participation of 475 final-year students, graduates, academics, and employers revealed 27 factors perceived to have caused the skills gap. Among them, factors related to impractical university curriculum, constant changes in the labor market, and students’ passivity in planning and developing their career were perceived to be the most influential. The study also revealed that stakeholder groups were blaming each other for who should be responsible for the skills gap.</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26"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33" w:name="m_2775912902713410657__Toc522026479"/>
                  <w:r w:rsidRPr="00116AF4">
                    <w:rPr>
                      <w:rFonts w:ascii="Calibri" w:eastAsia="Times New Roman" w:hAnsi="Calibri" w:cs="Calibri"/>
                      <w:b/>
                      <w:bCs/>
                      <w:color w:val="800000"/>
                      <w:sz w:val="22"/>
                    </w:rPr>
                    <w:t>Impacts of higher education quality accreditation: a case study in Vietnam.</w:t>
                  </w:r>
                  <w:bookmarkEnd w:id="33"/>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Huong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Pham. Quality in Higher Education, 2018, pp. 1-18.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Quality accreditation in higher education exists in many countries, including Vietnam. As of May 2018, 80 higher education institutions in Vietnam have officially been evaluated and </w:t>
                  </w:r>
                  <w:proofErr w:type="spellStart"/>
                  <w:r w:rsidRPr="00116AF4">
                    <w:rPr>
                      <w:rFonts w:ascii="Arial" w:eastAsia="Times New Roman" w:hAnsi="Arial" w:cs="Arial"/>
                      <w:szCs w:val="24"/>
                    </w:rPr>
                    <w:t>recognised</w:t>
                  </w:r>
                  <w:proofErr w:type="spellEnd"/>
                  <w:r w:rsidRPr="00116AF4">
                    <w:rPr>
                      <w:rFonts w:ascii="Arial" w:eastAsia="Times New Roman" w:hAnsi="Arial" w:cs="Arial"/>
                      <w:szCs w:val="24"/>
                    </w:rPr>
                    <w:t xml:space="preserve"> using the national quality standards. This study examined the impact of institutional accreditation on the evaluated university. The qualitative research evaluates the impact of external quality assurance from the perspective of managers of the university. The self-assessment phase helped the university assemble evidence of activities carried out at the university and the status of being </w:t>
                  </w:r>
                  <w:proofErr w:type="spellStart"/>
                  <w:r w:rsidRPr="00116AF4">
                    <w:rPr>
                      <w:rFonts w:ascii="Arial" w:eastAsia="Times New Roman" w:hAnsi="Arial" w:cs="Arial"/>
                      <w:szCs w:val="24"/>
                    </w:rPr>
                    <w:t>recognised</w:t>
                  </w:r>
                  <w:proofErr w:type="spellEnd"/>
                  <w:r w:rsidRPr="00116AF4">
                    <w:rPr>
                      <w:rFonts w:ascii="Arial" w:eastAsia="Times New Roman" w:hAnsi="Arial" w:cs="Arial"/>
                      <w:szCs w:val="24"/>
                    </w:rPr>
                    <w:t xml:space="preserve"> was believed to increase its prestige. The process, on the other hand, was also believed to be burdensome, time and cost consuming, which led to no significant changes at the institution. Lack of institutional autonomy and competence of the review team were barriers to any attempts to improve quality of higher education in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34" w:name="m_2775912902713410657__Toc522026480"/>
                  <w:r w:rsidRPr="00116AF4">
                    <w:rPr>
                      <w:rFonts w:ascii="Calibri" w:eastAsia="Times New Roman" w:hAnsi="Calibri" w:cs="Calibri"/>
                      <w:b/>
                      <w:bCs/>
                      <w:color w:val="800000"/>
                      <w:sz w:val="22"/>
                    </w:rPr>
                    <w:t xml:space="preserve">Another textbook project? The implementation of </w:t>
                  </w:r>
                  <w:proofErr w:type="spellStart"/>
                  <w:r w:rsidRPr="00116AF4">
                    <w:rPr>
                      <w:rFonts w:ascii="Calibri" w:eastAsia="Times New Roman" w:hAnsi="Calibri" w:cs="Calibri"/>
                      <w:b/>
                      <w:bCs/>
                      <w:color w:val="800000"/>
                      <w:sz w:val="22"/>
                    </w:rPr>
                    <w:t>Escuela</w:t>
                  </w:r>
                  <w:proofErr w:type="spellEnd"/>
                  <w:r w:rsidRPr="00116AF4">
                    <w:rPr>
                      <w:rFonts w:ascii="Calibri" w:eastAsia="Times New Roman" w:hAnsi="Calibri" w:cs="Calibri"/>
                      <w:b/>
                      <w:bCs/>
                      <w:color w:val="800000"/>
                      <w:sz w:val="22"/>
                    </w:rPr>
                    <w:t xml:space="preserve"> Nueva in Vietnam.</w:t>
                  </w:r>
                  <w:bookmarkEnd w:id="34"/>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Hang M. Le. Educational Research for Policy and Practice,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This qualitative case study examines the implementation of </w:t>
                  </w:r>
                  <w:proofErr w:type="spellStart"/>
                  <w:r w:rsidRPr="00116AF4">
                    <w:rPr>
                      <w:rFonts w:ascii="Arial" w:eastAsia="Times New Roman" w:hAnsi="Arial" w:cs="Arial"/>
                      <w:szCs w:val="24"/>
                    </w:rPr>
                    <w:t>Escuela</w:t>
                  </w:r>
                  <w:proofErr w:type="spellEnd"/>
                  <w:r w:rsidRPr="00116AF4">
                    <w:rPr>
                      <w:rFonts w:ascii="Arial" w:eastAsia="Times New Roman" w:hAnsi="Arial" w:cs="Arial"/>
                      <w:szCs w:val="24"/>
                    </w:rPr>
                    <w:t xml:space="preserve"> Nueva, a rural </w:t>
                  </w:r>
                  <w:proofErr w:type="spellStart"/>
                  <w:r w:rsidRPr="00116AF4">
                    <w:rPr>
                      <w:rFonts w:ascii="Arial" w:eastAsia="Times New Roman" w:hAnsi="Arial" w:cs="Arial"/>
                      <w:szCs w:val="24"/>
                    </w:rPr>
                    <w:t>multigrade</w:t>
                  </w:r>
                  <w:proofErr w:type="spellEnd"/>
                  <w:r w:rsidRPr="00116AF4">
                    <w:rPr>
                      <w:rFonts w:ascii="Arial" w:eastAsia="Times New Roman" w:hAnsi="Arial" w:cs="Arial"/>
                      <w:szCs w:val="24"/>
                    </w:rPr>
                    <w:t xml:space="preserve"> schooling model, in Vietnam from the perspectives and experiences of local teachers and school administrators. </w:t>
                  </w:r>
                  <w:proofErr w:type="spellStart"/>
                  <w:r w:rsidRPr="00116AF4">
                    <w:rPr>
                      <w:rFonts w:ascii="Arial" w:eastAsia="Times New Roman" w:hAnsi="Arial" w:cs="Arial"/>
                      <w:szCs w:val="24"/>
                    </w:rPr>
                    <w:t>Escuela</w:t>
                  </w:r>
                  <w:proofErr w:type="spellEnd"/>
                  <w:r w:rsidRPr="00116AF4">
                    <w:rPr>
                      <w:rFonts w:ascii="Arial" w:eastAsia="Times New Roman" w:hAnsi="Arial" w:cs="Arial"/>
                      <w:szCs w:val="24"/>
                    </w:rPr>
                    <w:t xml:space="preserve"> Nueva first </w:t>
                  </w:r>
                  <w:r w:rsidRPr="00116AF4">
                    <w:rPr>
                      <w:rFonts w:ascii="Arial" w:eastAsia="Times New Roman" w:hAnsi="Arial" w:cs="Arial"/>
                      <w:szCs w:val="24"/>
                    </w:rPr>
                    <w:lastRenderedPageBreak/>
                    <w:t xml:space="preserve">emerged in Colombia in the 1970s as a scalable low-cost educational innovation model that can be disseminated to other under-resourced regions around the world. Indeed, to date, the model has travelled to fourteen countries around the world, impacting the lives of over five million children. On the surface, the implementation of Vietnam </w:t>
                  </w:r>
                  <w:proofErr w:type="spellStart"/>
                  <w:r w:rsidRPr="00116AF4">
                    <w:rPr>
                      <w:rFonts w:ascii="Arial" w:eastAsia="Times New Roman" w:hAnsi="Arial" w:cs="Arial"/>
                      <w:szCs w:val="24"/>
                    </w:rPr>
                    <w:t>Escuela</w:t>
                  </w:r>
                  <w:proofErr w:type="spellEnd"/>
                  <w:r w:rsidRPr="00116AF4">
                    <w:rPr>
                      <w:rFonts w:ascii="Arial" w:eastAsia="Times New Roman" w:hAnsi="Arial" w:cs="Arial"/>
                      <w:szCs w:val="24"/>
                    </w:rPr>
                    <w:t xml:space="preserve"> Nueva (VNEN) appears to be a close reproduction of the original model. However, some aspects of VNEN in practice in fact directly contradict the principles and philosophies of the original model. Rather than encouraging more teacher autonomy, child-centered pedagogies, and local adaptation, the implementation of VNEN has reproduced the rigidity, conformity and textbook dependency that have been core features of the traditional Vietnamese education system. </w:t>
                  </w:r>
                  <w:proofErr w:type="gramStart"/>
                  <w:r w:rsidRPr="00116AF4">
                    <w:rPr>
                      <w:rFonts w:ascii="Arial" w:eastAsia="Times New Roman" w:hAnsi="Arial" w:cs="Arial"/>
                      <w:szCs w:val="24"/>
                    </w:rPr>
                    <w:t>This points</w:t>
                  </w:r>
                  <w:proofErr w:type="gramEnd"/>
                  <w:r w:rsidRPr="00116AF4">
                    <w:rPr>
                      <w:rFonts w:ascii="Arial" w:eastAsia="Times New Roman" w:hAnsi="Arial" w:cs="Arial"/>
                      <w:szCs w:val="24"/>
                    </w:rPr>
                    <w:t xml:space="preserve"> to the difficulties that can arise when attempts at scaling up educational change across borders come into conflict with local systems of reasoning, which impede the achievement of the intended outcomes.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27"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35" w:name="m_2775912902713410657__Toc522026481"/>
                  <w:r w:rsidRPr="00116AF4">
                    <w:rPr>
                      <w:rFonts w:ascii="Arial" w:eastAsia="Times New Roman" w:hAnsi="Arial" w:cs="Arial"/>
                      <w:b/>
                      <w:bCs/>
                      <w:color w:val="FFFFFF"/>
                      <w:kern w:val="36"/>
                      <w:sz w:val="48"/>
                      <w:szCs w:val="48"/>
                    </w:rPr>
                    <w:t>ENVIRONMENT</w:t>
                  </w:r>
                  <w:bookmarkEnd w:id="35"/>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36" w:name="m_2775912902713410657__Toc522026482"/>
                  <w:r w:rsidRPr="00116AF4">
                    <w:rPr>
                      <w:rFonts w:ascii="Calibri" w:eastAsia="Times New Roman" w:hAnsi="Calibri" w:cs="Calibri"/>
                      <w:b/>
                      <w:bCs/>
                      <w:color w:val="800000"/>
                      <w:sz w:val="22"/>
                    </w:rPr>
                    <w:t>Red lists in conservation science-policy interfaces: A case study from Vietnam.</w:t>
                  </w:r>
                  <w:bookmarkEnd w:id="36"/>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Huong Do, Max </w:t>
                  </w:r>
                  <w:proofErr w:type="spellStart"/>
                  <w:r w:rsidRPr="00116AF4">
                    <w:rPr>
                      <w:rFonts w:ascii="Arial" w:eastAsia="Times New Roman" w:hAnsi="Arial" w:cs="Arial"/>
                      <w:szCs w:val="24"/>
                    </w:rPr>
                    <w:t>Krott</w:t>
                  </w:r>
                  <w:proofErr w:type="spellEnd"/>
                  <w:r w:rsidRPr="00116AF4">
                    <w:rPr>
                      <w:rFonts w:ascii="Arial" w:eastAsia="Times New Roman" w:hAnsi="Arial" w:cs="Arial"/>
                      <w:szCs w:val="24"/>
                    </w:rPr>
                    <w:t xml:space="preserve">, Nataly </w:t>
                  </w:r>
                  <w:proofErr w:type="spellStart"/>
                  <w:r w:rsidRPr="00116AF4">
                    <w:rPr>
                      <w:rFonts w:ascii="Arial" w:eastAsia="Times New Roman" w:hAnsi="Arial" w:cs="Arial"/>
                      <w:szCs w:val="24"/>
                    </w:rPr>
                    <w:t>Juerges</w:t>
                  </w:r>
                  <w:proofErr w:type="spellEnd"/>
                  <w:r w:rsidRPr="00116AF4">
                    <w:rPr>
                      <w:rFonts w:ascii="Arial" w:eastAsia="Times New Roman" w:hAnsi="Arial" w:cs="Arial"/>
                      <w:szCs w:val="24"/>
                    </w:rPr>
                    <w:t xml:space="preserve"> and Michael </w:t>
                  </w:r>
                  <w:proofErr w:type="spellStart"/>
                  <w:r w:rsidRPr="00116AF4">
                    <w:rPr>
                      <w:rFonts w:ascii="Arial" w:eastAsia="Times New Roman" w:hAnsi="Arial" w:cs="Arial"/>
                      <w:szCs w:val="24"/>
                    </w:rPr>
                    <w:t>Böcher</w:t>
                  </w:r>
                  <w:proofErr w:type="spellEnd"/>
                  <w:r w:rsidRPr="00116AF4">
                    <w:rPr>
                      <w:rFonts w:ascii="Arial" w:eastAsia="Times New Roman" w:hAnsi="Arial" w:cs="Arial"/>
                      <w:szCs w:val="24"/>
                    </w:rPr>
                    <w:t>. Biological Conservation, 2018, volume 226, pp. 101-110.</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Red lists of threatened species have been a powerful instrument to interact loss of biodiversity in many countries. However, there have been growing concerns over the scientific basis of red lists and the influence of red lists on conservation policy formulation. This article explores science–policy interface in the development and use of the Vietnamese Red Data Book 2007 by applying the Research – Integration – Utilization (RIU) model of scientific knowledge transfer. Our study has shown the scientific weaknesses of the Vietnamese Red Data Book 2007, which arise from limited availability of updated data on rare and threatened species in Vietnam and unknown factors influencing them. Despite the existing limitations, the science-based policy advice of the Vietnamese Red Data Book 2007 has achieved certain political influence due to successful integration. Our study also reveals that good and actor-relevant communication could help to win powerful allies in conservation policy formulation, which contributes to a successful transfer of scientific knowledge. Based on our results, we recommend that the improvement of the scientific basis of the red lists is essential to enhance science-based policy </w:t>
                  </w:r>
                  <w:r w:rsidRPr="00116AF4">
                    <w:rPr>
                      <w:rFonts w:ascii="Arial" w:eastAsia="Times New Roman" w:hAnsi="Arial" w:cs="Arial"/>
                      <w:szCs w:val="24"/>
                    </w:rPr>
                    <w:lastRenderedPageBreak/>
                    <w:t>support in biodiversity conservation.</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37" w:name="m_2775912902713410657__Toc522026483"/>
                  <w:r w:rsidRPr="00116AF4">
                    <w:rPr>
                      <w:rFonts w:ascii="Calibri" w:eastAsia="Times New Roman" w:hAnsi="Calibri" w:cs="Calibri"/>
                      <w:b/>
                      <w:bCs/>
                      <w:color w:val="800000"/>
                      <w:sz w:val="22"/>
                    </w:rPr>
                    <w:t xml:space="preserve">The role of sedimentation and natural compaction in a </w:t>
                  </w:r>
                  <w:proofErr w:type="spellStart"/>
                  <w:r w:rsidRPr="00116AF4">
                    <w:rPr>
                      <w:rFonts w:ascii="Calibri" w:eastAsia="Times New Roman" w:hAnsi="Calibri" w:cs="Calibri"/>
                      <w:b/>
                      <w:bCs/>
                      <w:color w:val="800000"/>
                      <w:sz w:val="22"/>
                    </w:rPr>
                    <w:t>prograding</w:t>
                  </w:r>
                  <w:proofErr w:type="spellEnd"/>
                  <w:r w:rsidRPr="00116AF4">
                    <w:rPr>
                      <w:rFonts w:ascii="Calibri" w:eastAsia="Times New Roman" w:hAnsi="Calibri" w:cs="Calibri"/>
                      <w:b/>
                      <w:bCs/>
                      <w:color w:val="800000"/>
                      <w:sz w:val="22"/>
                    </w:rPr>
                    <w:t xml:space="preserve"> delta: insights from the mega Mekong delta, Vietnam.</w:t>
                  </w:r>
                  <w:bookmarkEnd w:id="37"/>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Claudia </w:t>
                  </w:r>
                  <w:proofErr w:type="spellStart"/>
                  <w:r w:rsidRPr="00116AF4">
                    <w:rPr>
                      <w:rFonts w:ascii="Arial" w:eastAsia="Times New Roman" w:hAnsi="Arial" w:cs="Arial"/>
                      <w:szCs w:val="24"/>
                    </w:rPr>
                    <w:t>Zoccarato</w:t>
                  </w:r>
                  <w:proofErr w:type="spellEnd"/>
                  <w:r w:rsidRPr="00116AF4">
                    <w:rPr>
                      <w:rFonts w:ascii="Arial" w:eastAsia="Times New Roman" w:hAnsi="Arial" w:cs="Arial"/>
                      <w:szCs w:val="24"/>
                    </w:rPr>
                    <w:t xml:space="preserve">, Philip S. J. </w:t>
                  </w:r>
                  <w:proofErr w:type="spellStart"/>
                  <w:r w:rsidRPr="00116AF4">
                    <w:rPr>
                      <w:rFonts w:ascii="Arial" w:eastAsia="Times New Roman" w:hAnsi="Arial" w:cs="Arial"/>
                      <w:szCs w:val="24"/>
                    </w:rPr>
                    <w:t>Minderhoud</w:t>
                  </w:r>
                  <w:proofErr w:type="spellEnd"/>
                  <w:r w:rsidRPr="00116AF4">
                    <w:rPr>
                      <w:rFonts w:ascii="Arial" w:eastAsia="Times New Roman" w:hAnsi="Arial" w:cs="Arial"/>
                      <w:szCs w:val="24"/>
                    </w:rPr>
                    <w:t xml:space="preserve"> and Pietro </w:t>
                  </w:r>
                  <w:proofErr w:type="spellStart"/>
                  <w:r w:rsidRPr="00116AF4">
                    <w:rPr>
                      <w:rFonts w:ascii="Arial" w:eastAsia="Times New Roman" w:hAnsi="Arial" w:cs="Arial"/>
                      <w:szCs w:val="24"/>
                    </w:rPr>
                    <w:t>Teatini</w:t>
                  </w:r>
                  <w:proofErr w:type="spellEnd"/>
                  <w:r w:rsidRPr="00116AF4">
                    <w:rPr>
                      <w:rFonts w:ascii="Arial" w:eastAsia="Times New Roman" w:hAnsi="Arial" w:cs="Arial"/>
                      <w:szCs w:val="24"/>
                    </w:rPr>
                    <w:t>. Scientific Reports, 2018, volume 8, number 1, p. 11437.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28" w:tgtFrame="_blank" w:history="1">
                    <w:r w:rsidRPr="00116AF4">
                      <w:rPr>
                        <w:rFonts w:ascii="Arial" w:eastAsia="Times New Roman" w:hAnsi="Arial" w:cs="Arial"/>
                        <w:color w:val="1155CC"/>
                        <w:szCs w:val="24"/>
                        <w:u w:val="single"/>
                      </w:rPr>
                      <w:t>https://doi.org/10.1038/s41598-018-29734-7</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Vietnamese Mekong Delta was formed by rapid transgression during the second half of the Holocene by deposition of mainly unconsolidated, fine-grained (clayey) sediments undergoing high compaction rates. The natural subsidence can seriously impact the already vulnerable delta plain as its low elevation exposes the delta to global sea level rise, flooding, salinization. Human activities such as groundwater pumping, infrastructural loading, sand mining and dam construction have exacerbated the effects of natural consolidation. Here we present a novel modeling study that has allowed </w:t>
                  </w:r>
                  <w:proofErr w:type="gramStart"/>
                  <w:r w:rsidRPr="00116AF4">
                    <w:rPr>
                      <w:rFonts w:ascii="Arial" w:eastAsia="Times New Roman" w:hAnsi="Arial" w:cs="Arial"/>
                      <w:szCs w:val="24"/>
                    </w:rPr>
                    <w:t>to reproduce</w:t>
                  </w:r>
                  <w:proofErr w:type="gramEnd"/>
                  <w:r w:rsidRPr="00116AF4">
                    <w:rPr>
                      <w:rFonts w:ascii="Arial" w:eastAsia="Times New Roman" w:hAnsi="Arial" w:cs="Arial"/>
                      <w:szCs w:val="24"/>
                    </w:rPr>
                    <w:t xml:space="preserve"> the formation and evolution of the Mekong delta over the past 4000 years. Using an adaptive finite-element mesh, the model properly simulates accretion and natural consolidation characterizing the delta evolution. Large soil grain motion and the delayed dissipation of pore-water overpressure are accounted for. We find that natural compaction of Holocene deposits following delta evolution exceeds predicted values of absolute sea level rise. The unprecedented high rates (up to ~20 mm/</w:t>
                  </w:r>
                  <w:proofErr w:type="spellStart"/>
                  <w:r w:rsidRPr="00116AF4">
                    <w:rPr>
                      <w:rFonts w:ascii="Arial" w:eastAsia="Times New Roman" w:hAnsi="Arial" w:cs="Arial"/>
                      <w:szCs w:val="24"/>
                    </w:rPr>
                    <w:t>yr</w:t>
                  </w:r>
                  <w:proofErr w:type="spellEnd"/>
                  <w:r w:rsidRPr="00116AF4">
                    <w:rPr>
                      <w:rFonts w:ascii="Arial" w:eastAsia="Times New Roman" w:hAnsi="Arial" w:cs="Arial"/>
                      <w:szCs w:val="24"/>
                    </w:rPr>
                    <w:t>) threaten the lower delta plain with permanent inundation and inevitably reduce the designed service life of flood defense structures along the coast. Total subsidence and sediment delivery to the delta plain will determine its future elevation and vulnerability to relative sea level rise.</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38" w:name="m_2775912902713410657__Toc522026484"/>
                  <w:r w:rsidRPr="00116AF4">
                    <w:rPr>
                      <w:rFonts w:ascii="Calibri" w:eastAsia="Times New Roman" w:hAnsi="Calibri" w:cs="Calibri"/>
                      <w:b/>
                      <w:bCs/>
                      <w:color w:val="800000"/>
                      <w:sz w:val="22"/>
                    </w:rPr>
                    <w:t>Characteristics and development of policy and institutional structures of emergency response in Vietnam.</w:t>
                  </w:r>
                  <w:bookmarkEnd w:id="38"/>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Ngoc Thang To and </w:t>
                  </w:r>
                  <w:proofErr w:type="spellStart"/>
                  <w:r w:rsidRPr="00116AF4">
                    <w:rPr>
                      <w:rFonts w:ascii="Arial" w:eastAsia="Times New Roman" w:hAnsi="Arial" w:cs="Arial"/>
                      <w:szCs w:val="24"/>
                    </w:rPr>
                    <w:t>Takaaki</w:t>
                  </w:r>
                  <w:proofErr w:type="spellEnd"/>
                  <w:r w:rsidRPr="00116AF4">
                    <w:rPr>
                      <w:rFonts w:ascii="Arial" w:eastAsia="Times New Roman" w:hAnsi="Arial" w:cs="Arial"/>
                      <w:szCs w:val="24"/>
                    </w:rPr>
                    <w:t xml:space="preserve"> Kato. International Journal of Disaster Risk Reduction,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Each nation has its own system to manage and respond to emergencies that reflect the characteristics of that nation's government, economy, and culture. This study provides information on the development of legislation and an institutional framework for the Vietnamese emergency management system. Vietnam is a </w:t>
                  </w:r>
                  <w:r w:rsidRPr="00116AF4">
                    <w:rPr>
                      <w:rFonts w:ascii="Arial" w:eastAsia="Times New Roman" w:hAnsi="Arial" w:cs="Arial"/>
                      <w:szCs w:val="24"/>
                    </w:rPr>
                    <w:lastRenderedPageBreak/>
                    <w:t>developing country in the most disaster-prone area of Asia. With a high risk of disasters, emergency management plays a core role in the nation's sustainable development and societal security. Legislation development is the beginning of a better emergency management system. Vietnam's existing legal documents and institutional structures relating to the emergency response structure were reviewed. A discussion on the development of the legislation revealed the reformation of the emergency response structure toward a “multi-hazard approach.” By considering the concept of the international standard ISO 22320 [5] on requirements for incident response, the Vietnamese emergency response structure is focused on the following three functions of command and control, operational information, coordination and cooperation. In general, the emergency response structure in Vietnam follows a graded response with functional divisions and relies on the motto “four on-the-spot,” which emphasizes the role of local governments in emergency management. To make this motto more effective in emergency response, clear coordination mechanisms among local authorities, police, and the military are necessary. Enhancing the capabilities of local coordination committees is highly recommended to actively respond to emergency cases.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29"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39" w:name="m_2775912902713410657__Toc522026485"/>
                  <w:r w:rsidRPr="00116AF4">
                    <w:rPr>
                      <w:rFonts w:ascii="Calibri" w:eastAsia="Times New Roman" w:hAnsi="Calibri" w:cs="Calibri"/>
                      <w:b/>
                      <w:bCs/>
                      <w:color w:val="800000"/>
                      <w:sz w:val="22"/>
                    </w:rPr>
                    <w:t xml:space="preserve">Integrated approach to </w:t>
                  </w:r>
                  <w:proofErr w:type="spellStart"/>
                  <w:r w:rsidRPr="00116AF4">
                    <w:rPr>
                      <w:rFonts w:ascii="Calibri" w:eastAsia="Times New Roman" w:hAnsi="Calibri" w:cs="Calibri"/>
                      <w:b/>
                      <w:bCs/>
                      <w:color w:val="800000"/>
                      <w:sz w:val="22"/>
                    </w:rPr>
                    <w:t>analyse</w:t>
                  </w:r>
                  <w:proofErr w:type="spellEnd"/>
                  <w:r w:rsidRPr="00116AF4">
                    <w:rPr>
                      <w:rFonts w:ascii="Calibri" w:eastAsia="Times New Roman" w:hAnsi="Calibri" w:cs="Calibri"/>
                      <w:b/>
                      <w:bCs/>
                      <w:color w:val="800000"/>
                      <w:sz w:val="22"/>
                    </w:rPr>
                    <w:t xml:space="preserve"> the total flood risk for agriculture: the significance of intangible damages – A case study in Central Vietnam.</w:t>
                  </w:r>
                  <w:bookmarkEnd w:id="39"/>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Pham Hong Nga, Kaoru Takara and Nguyen Cam Van. International Journal of Disaster Risk Reduction,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Although agricultural production is highly vulnerable to climatic disasters as being located in low-lying river deltas, the data and information about its damages caused by flooding are far limited and scattered. Therefore, this study proposes an integrated approach, combining 1D simulation, GIS based land use analysis, intensive household survey and Contingent Value Method to estimate Flood Risk Curve and Average Annual Risk (in monetary value) for rural agricultural production. The selected study area is located in the floodplain of Vu Gia-Thu Bon (VG-TB) basin, one of the largest and most complex basins in Vietnam with dense population. The key finding shows that although the local agricultural practice is well adapted to the flooding season to reduce direct damage, the calculated Annual Average Risk is still as high as 6% of total agricultural production every year, of which indirect and intangible risk accounts for 62%. Therefore, this result is believed to produce complete understanding about the total risk that need to be coped with. The managers, local communities and other stakeholders can also use Annual Average </w:t>
                  </w:r>
                  <w:r w:rsidRPr="00116AF4">
                    <w:rPr>
                      <w:rFonts w:ascii="Arial" w:eastAsia="Times New Roman" w:hAnsi="Arial" w:cs="Arial"/>
                      <w:szCs w:val="24"/>
                    </w:rPr>
                    <w:lastRenderedPageBreak/>
                    <w:t>Risk as a clear, strong and quantitative indicator for a certain area showing how vulnerable it is to flood risk and which measures would be effective and worth to be invested from cost-effective point of view.</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40" w:name="m_2775912902713410657__Toc522026486"/>
                  <w:r w:rsidRPr="00116AF4">
                    <w:rPr>
                      <w:rFonts w:ascii="Calibri" w:eastAsia="Times New Roman" w:hAnsi="Calibri" w:cs="Calibri"/>
                      <w:b/>
                      <w:bCs/>
                      <w:color w:val="800000"/>
                      <w:sz w:val="22"/>
                    </w:rPr>
                    <w:t xml:space="preserve">Modelling and mapping natural hazard regulating ecosystem services in </w:t>
                  </w:r>
                  <w:proofErr w:type="spellStart"/>
                  <w:r w:rsidRPr="00116AF4">
                    <w:rPr>
                      <w:rFonts w:ascii="Calibri" w:eastAsia="Times New Roman" w:hAnsi="Calibri" w:cs="Calibri"/>
                      <w:b/>
                      <w:bCs/>
                      <w:color w:val="800000"/>
                      <w:sz w:val="22"/>
                    </w:rPr>
                    <w:t>Sapa</w:t>
                  </w:r>
                  <w:proofErr w:type="spellEnd"/>
                  <w:r w:rsidRPr="00116AF4">
                    <w:rPr>
                      <w:rFonts w:ascii="Calibri" w:eastAsia="Times New Roman" w:hAnsi="Calibri" w:cs="Calibri"/>
                      <w:b/>
                      <w:bCs/>
                      <w:color w:val="800000"/>
                      <w:sz w:val="22"/>
                    </w:rPr>
                    <w:t xml:space="preserve">, Lao </w:t>
                  </w:r>
                  <w:proofErr w:type="spellStart"/>
                  <w:r w:rsidRPr="00116AF4">
                    <w:rPr>
                      <w:rFonts w:ascii="Calibri" w:eastAsia="Times New Roman" w:hAnsi="Calibri" w:cs="Calibri"/>
                      <w:b/>
                      <w:bCs/>
                      <w:color w:val="800000"/>
                      <w:sz w:val="22"/>
                    </w:rPr>
                    <w:t>Cai</w:t>
                  </w:r>
                  <w:proofErr w:type="spellEnd"/>
                  <w:r w:rsidRPr="00116AF4">
                    <w:rPr>
                      <w:rFonts w:ascii="Calibri" w:eastAsia="Times New Roman" w:hAnsi="Calibri" w:cs="Calibri"/>
                      <w:b/>
                      <w:bCs/>
                      <w:color w:val="800000"/>
                      <w:sz w:val="22"/>
                    </w:rPr>
                    <w:t xml:space="preserve"> province, Vietnam.</w:t>
                  </w:r>
                  <w:bookmarkEnd w:id="40"/>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Kinh</w:t>
                  </w:r>
                  <w:proofErr w:type="spellEnd"/>
                  <w:r w:rsidRPr="00116AF4">
                    <w:rPr>
                      <w:rFonts w:ascii="Arial" w:eastAsia="Times New Roman" w:hAnsi="Arial" w:cs="Arial"/>
                      <w:szCs w:val="24"/>
                    </w:rPr>
                    <w:t xml:space="preserve"> Bac Dang, Benjamin </w:t>
                  </w:r>
                  <w:proofErr w:type="spellStart"/>
                  <w:r w:rsidRPr="00116AF4">
                    <w:rPr>
                      <w:rFonts w:ascii="Arial" w:eastAsia="Times New Roman" w:hAnsi="Arial" w:cs="Arial"/>
                      <w:szCs w:val="24"/>
                    </w:rPr>
                    <w:t>Burkhard</w:t>
                  </w:r>
                  <w:proofErr w:type="spellEnd"/>
                  <w:r w:rsidRPr="00116AF4">
                    <w:rPr>
                      <w:rFonts w:ascii="Arial" w:eastAsia="Times New Roman" w:hAnsi="Arial" w:cs="Arial"/>
                      <w:szCs w:val="24"/>
                    </w:rPr>
                    <w:t xml:space="preserve">, Felix Müller and Van </w:t>
                  </w:r>
                  <w:proofErr w:type="spellStart"/>
                  <w:r w:rsidRPr="00116AF4">
                    <w:rPr>
                      <w:rFonts w:ascii="Arial" w:eastAsia="Times New Roman" w:hAnsi="Arial" w:cs="Arial"/>
                      <w:szCs w:val="24"/>
                    </w:rPr>
                    <w:t>Bao</w:t>
                  </w:r>
                  <w:proofErr w:type="spellEnd"/>
                  <w:r w:rsidRPr="00116AF4">
                    <w:rPr>
                      <w:rFonts w:ascii="Arial" w:eastAsia="Times New Roman" w:hAnsi="Arial" w:cs="Arial"/>
                      <w:szCs w:val="24"/>
                    </w:rPr>
                    <w:t xml:space="preserve"> Dang. Paddy and Water Environment,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Land use change due to the development of agriculture and community-based tourism has resulted in an increase in natural hazards (e.g. erosion and landslides) that affect sustainability in the </w:t>
                  </w:r>
                  <w:proofErr w:type="spellStart"/>
                  <w:r w:rsidRPr="00116AF4">
                    <w:rPr>
                      <w:rFonts w:ascii="Arial" w:eastAsia="Times New Roman" w:hAnsi="Arial" w:cs="Arial"/>
                      <w:szCs w:val="24"/>
                    </w:rPr>
                    <w:t>Sapa</w:t>
                  </w:r>
                  <w:proofErr w:type="spellEnd"/>
                  <w:r w:rsidRPr="00116AF4">
                    <w:rPr>
                      <w:rFonts w:ascii="Arial" w:eastAsia="Times New Roman" w:hAnsi="Arial" w:cs="Arial"/>
                      <w:szCs w:val="24"/>
                    </w:rPr>
                    <w:t xml:space="preserve"> mountainous area in northern Vietnam. Natural hazard regulating ecosystem services have protected the local people from the destruction of their villages, goods and natural resources, especially in the rainy season. However, it is difficult to identify which kinds of anthropogenic constructions support a co-production of regulating services in human-influenced social–ecological systems and in which specific types of land use and land cover the supply of such services takes place, especially in heterogeneous mountainous areas. Therefore, this research attempts to (1) distinguish between the potential and actual use (flow) of natural hazard regulating ecosystem services and (2) understand how soil erosion and landslide regulating ecosystem services can contribute to a sustainable management of different ecosystems, especially in rice fields and forest areas. Two models (</w:t>
                  </w:r>
                  <w:proofErr w:type="spellStart"/>
                  <w:r w:rsidRPr="00116AF4">
                    <w:rPr>
                      <w:rFonts w:ascii="Arial" w:eastAsia="Times New Roman" w:hAnsi="Arial" w:cs="Arial"/>
                      <w:szCs w:val="24"/>
                    </w:rPr>
                    <w:t>InVEST</w:t>
                  </w:r>
                  <w:proofErr w:type="spellEnd"/>
                  <w:r w:rsidRPr="00116AF4">
                    <w:rPr>
                      <w:rFonts w:ascii="Arial" w:eastAsia="Times New Roman" w:hAnsi="Arial" w:cs="Arial"/>
                      <w:szCs w:val="24"/>
                    </w:rPr>
                    <w:t xml:space="preserve"> for soil erosion, Analytic Hierarchy Process for landslide analysis) were used to analyze and map the contributions of natural versus anthropogenic components for regulating natural hazards in </w:t>
                  </w:r>
                  <w:proofErr w:type="spellStart"/>
                  <w:r w:rsidRPr="00116AF4">
                    <w:rPr>
                      <w:rFonts w:ascii="Arial" w:eastAsia="Times New Roman" w:hAnsi="Arial" w:cs="Arial"/>
                      <w:szCs w:val="24"/>
                    </w:rPr>
                    <w:t>Sapa</w:t>
                  </w:r>
                  <w:proofErr w:type="spellEnd"/>
                  <w:r w:rsidRPr="00116AF4">
                    <w:rPr>
                      <w:rFonts w:ascii="Arial" w:eastAsia="Times New Roman" w:hAnsi="Arial" w:cs="Arial"/>
                      <w:szCs w:val="24"/>
                    </w:rPr>
                    <w:t>. The results show the incoherent distribution of erosion regulating services and low capacities of landslide regulating services in areas that have seriously been affected by human activities, especially forestry and agricultural development. The contribution of rice ecosystems to soil erosion mitigation is higher than in the case of landslides. Nevertheless, one-third of the area of paddy fields in the case study area have “no” capacity to supply natural hazard regulating ecosystem services and should therefore be re-forested.</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30"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41" w:name="m_2775912902713410657__Toc522026487"/>
                  <w:r w:rsidRPr="00116AF4">
                    <w:rPr>
                      <w:rFonts w:ascii="Calibri" w:eastAsia="Times New Roman" w:hAnsi="Calibri" w:cs="Calibri"/>
                      <w:b/>
                      <w:bCs/>
                      <w:color w:val="800000"/>
                      <w:sz w:val="22"/>
                    </w:rPr>
                    <w:t>Occurrence of antibiotic residues and antibiotic-resistant bacteria in effluents of pharmaceutical manufacturers and other sources around Hanoi, Vietnam.</w:t>
                  </w:r>
                  <w:bookmarkEnd w:id="41"/>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lastRenderedPageBreak/>
                    <w:t>Phong</w:t>
                  </w:r>
                  <w:proofErr w:type="spellEnd"/>
                  <w:r w:rsidRPr="00116AF4">
                    <w:rPr>
                      <w:rFonts w:ascii="Arial" w:eastAsia="Times New Roman" w:hAnsi="Arial" w:cs="Arial"/>
                      <w:szCs w:val="24"/>
                    </w:rPr>
                    <w:t xml:space="preserve"> K. Thai, Le Xuan </w:t>
                  </w:r>
                  <w:proofErr w:type="spellStart"/>
                  <w:r w:rsidRPr="00116AF4">
                    <w:rPr>
                      <w:rFonts w:ascii="Arial" w:eastAsia="Times New Roman" w:hAnsi="Arial" w:cs="Arial"/>
                      <w:szCs w:val="24"/>
                    </w:rPr>
                    <w:t>Ky</w:t>
                  </w:r>
                  <w:proofErr w:type="spellEnd"/>
                  <w:r w:rsidRPr="00116AF4">
                    <w:rPr>
                      <w:rFonts w:ascii="Arial" w:eastAsia="Times New Roman" w:hAnsi="Arial" w:cs="Arial"/>
                      <w:szCs w:val="24"/>
                    </w:rPr>
                    <w:t xml:space="preserve">, Vu Ngan </w:t>
                  </w:r>
                  <w:proofErr w:type="spellStart"/>
                  <w:r w:rsidRPr="00116AF4">
                    <w:rPr>
                      <w:rFonts w:ascii="Arial" w:eastAsia="Times New Roman" w:hAnsi="Arial" w:cs="Arial"/>
                      <w:szCs w:val="24"/>
                    </w:rPr>
                    <w:t>Binh</w:t>
                  </w:r>
                  <w:proofErr w:type="spellEnd"/>
                  <w:r w:rsidRPr="00116AF4">
                    <w:rPr>
                      <w:rFonts w:ascii="Arial" w:eastAsia="Times New Roman" w:hAnsi="Arial" w:cs="Arial"/>
                      <w:szCs w:val="24"/>
                    </w:rPr>
                    <w:t xml:space="preserve">, Pham Hong </w:t>
                  </w:r>
                  <w:proofErr w:type="spellStart"/>
                  <w:r w:rsidRPr="00116AF4">
                    <w:rPr>
                      <w:rFonts w:ascii="Arial" w:eastAsia="Times New Roman" w:hAnsi="Arial" w:cs="Arial"/>
                      <w:szCs w:val="24"/>
                    </w:rPr>
                    <w:t>Nhung</w:t>
                  </w:r>
                  <w:proofErr w:type="spellEnd"/>
                  <w:r w:rsidRPr="00116AF4">
                    <w:rPr>
                      <w:rFonts w:ascii="Arial" w:eastAsia="Times New Roman" w:hAnsi="Arial" w:cs="Arial"/>
                      <w:szCs w:val="24"/>
                    </w:rPr>
                    <w:t xml:space="preserve">, Pham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Nhan</w:t>
                  </w:r>
                  <w:proofErr w:type="spellEnd"/>
                  <w:r w:rsidRPr="00116AF4">
                    <w:rPr>
                      <w:rFonts w:ascii="Arial" w:eastAsia="Times New Roman" w:hAnsi="Arial" w:cs="Arial"/>
                      <w:szCs w:val="24"/>
                    </w:rPr>
                    <w:t xml:space="preserve"> and others. Science of The Total Environment, 2018, volume 645, pp. 393-400.</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Pharmaceutical manufacturers in Vietnam are producing a wide variety of antibiotics for human and veterinary use. Consequently, the water discharged from those facilities can contain residues of antibiotics, which could have adverse impact on the environment. However, studies on the occurrence of antibiotics in the wastewater from pharmaceutical manufacturers in Vietnam are almost non-existent. In this study, water samples were collected at around the outlets of four pharmaceutical manufacturing plants as well as from a hospital and an aquaculture farm around Hanoi in 2016 and 2017. Fifteen antibiotics from four major classes (β-lactam, quinolones, macrolides, </w:t>
                  </w:r>
                  <w:proofErr w:type="gramStart"/>
                  <w:r w:rsidRPr="00116AF4">
                    <w:rPr>
                      <w:rFonts w:ascii="Arial" w:eastAsia="Times New Roman" w:hAnsi="Arial" w:cs="Arial"/>
                      <w:szCs w:val="24"/>
                    </w:rPr>
                    <w:t>sulfonamides</w:t>
                  </w:r>
                  <w:proofErr w:type="gramEnd"/>
                  <w:r w:rsidRPr="00116AF4">
                    <w:rPr>
                      <w:rFonts w:ascii="Arial" w:eastAsia="Times New Roman" w:hAnsi="Arial" w:cs="Arial"/>
                      <w:szCs w:val="24"/>
                    </w:rPr>
                    <w:t xml:space="preserve">) were monitored, using a validated LC-MS/MS method, based on their number of registrations at the Ministry of Health. Ten antibiotics, ampicillin, cefuroxime, cefotaxime, clarithromycin, azithromycin, sulfamethoxazole, trimethoprim, </w:t>
                  </w:r>
                  <w:proofErr w:type="spellStart"/>
                  <w:r w:rsidRPr="00116AF4">
                    <w:rPr>
                      <w:rFonts w:ascii="Arial" w:eastAsia="Times New Roman" w:hAnsi="Arial" w:cs="Arial"/>
                      <w:szCs w:val="24"/>
                    </w:rPr>
                    <w:t>ofloxacin</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norfloxacin</w:t>
                  </w:r>
                  <w:proofErr w:type="spellEnd"/>
                  <w:r w:rsidRPr="00116AF4">
                    <w:rPr>
                      <w:rFonts w:ascii="Arial" w:eastAsia="Times New Roman" w:hAnsi="Arial" w:cs="Arial"/>
                      <w:szCs w:val="24"/>
                    </w:rPr>
                    <w:t>, and ciprofloxacin were detected in the samples at different concentrations. Notably, sulfonamides and quinolones were occasionally detected at very high concentration, such as sulfamethoxazole (252 </w:t>
                  </w:r>
                  <w:proofErr w:type="spellStart"/>
                  <w:r w:rsidRPr="00116AF4">
                    <w:rPr>
                      <w:rFonts w:ascii="Arial" w:eastAsia="Times New Roman" w:hAnsi="Arial" w:cs="Arial"/>
                      <w:szCs w:val="24"/>
                    </w:rPr>
                    <w:t>μg</w:t>
                  </w:r>
                  <w:proofErr w:type="spellEnd"/>
                  <w:r w:rsidRPr="00116AF4">
                    <w:rPr>
                      <w:rFonts w:ascii="Arial" w:eastAsia="Times New Roman" w:hAnsi="Arial" w:cs="Arial"/>
                      <w:szCs w:val="24"/>
                    </w:rPr>
                    <w:t>/L), trimethoprim (107 </w:t>
                  </w:r>
                  <w:proofErr w:type="spellStart"/>
                  <w:r w:rsidRPr="00116AF4">
                    <w:rPr>
                      <w:rFonts w:ascii="Arial" w:eastAsia="Times New Roman" w:hAnsi="Arial" w:cs="Arial"/>
                      <w:szCs w:val="24"/>
                    </w:rPr>
                    <w:t>μg</w:t>
                  </w:r>
                  <w:proofErr w:type="spellEnd"/>
                  <w:r w:rsidRPr="00116AF4">
                    <w:rPr>
                      <w:rFonts w:ascii="Arial" w:eastAsia="Times New Roman" w:hAnsi="Arial" w:cs="Arial"/>
                      <w:szCs w:val="24"/>
                    </w:rPr>
                    <w:t xml:space="preserve">/L), </w:t>
                  </w:r>
                  <w:proofErr w:type="spellStart"/>
                  <w:r w:rsidRPr="00116AF4">
                    <w:rPr>
                      <w:rFonts w:ascii="Arial" w:eastAsia="Times New Roman" w:hAnsi="Arial" w:cs="Arial"/>
                      <w:szCs w:val="24"/>
                    </w:rPr>
                    <w:t>ofloxacin</w:t>
                  </w:r>
                  <w:proofErr w:type="spellEnd"/>
                  <w:r w:rsidRPr="00116AF4">
                    <w:rPr>
                      <w:rFonts w:ascii="Arial" w:eastAsia="Times New Roman" w:hAnsi="Arial" w:cs="Arial"/>
                      <w:szCs w:val="24"/>
                    </w:rPr>
                    <w:t xml:space="preserve"> (85 </w:t>
                  </w:r>
                  <w:proofErr w:type="spellStart"/>
                  <w:r w:rsidRPr="00116AF4">
                    <w:rPr>
                      <w:rFonts w:ascii="Arial" w:eastAsia="Times New Roman" w:hAnsi="Arial" w:cs="Arial"/>
                      <w:szCs w:val="24"/>
                    </w:rPr>
                    <w:t>μg</w:t>
                  </w:r>
                  <w:proofErr w:type="spellEnd"/>
                  <w:r w:rsidRPr="00116AF4">
                    <w:rPr>
                      <w:rFonts w:ascii="Arial" w:eastAsia="Times New Roman" w:hAnsi="Arial" w:cs="Arial"/>
                      <w:szCs w:val="24"/>
                    </w:rPr>
                    <w:t>/L), and ciprofloxacin (41 </w:t>
                  </w:r>
                  <w:proofErr w:type="spellStart"/>
                  <w:r w:rsidRPr="00116AF4">
                    <w:rPr>
                      <w:rFonts w:ascii="Arial" w:eastAsia="Times New Roman" w:hAnsi="Arial" w:cs="Arial"/>
                      <w:szCs w:val="24"/>
                    </w:rPr>
                    <w:t>μg</w:t>
                  </w:r>
                  <w:proofErr w:type="spellEnd"/>
                  <w:r w:rsidRPr="00116AF4">
                    <w:rPr>
                      <w:rFonts w:ascii="Arial" w:eastAsia="Times New Roman" w:hAnsi="Arial" w:cs="Arial"/>
                      <w:szCs w:val="24"/>
                    </w:rPr>
                    <w:t>/L). In this study, concentrations of antibiotic residues in effluent of pharmaceutical plants were higher than those from other sources. The antibiotic-resistance tests indicated the widespread resistance to common antibiotics like quinolone and sulfonamides in the collected samples. This finding suggests that wastewater from pharmaceutical manufacturers could be an important source of antibiotics and antibiotic-resistant bacteria in the aquatic environment of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42" w:name="m_2775912902713410657__Toc522026488"/>
                  <w:r w:rsidRPr="00116AF4">
                    <w:rPr>
                      <w:rFonts w:ascii="Calibri" w:eastAsia="Times New Roman" w:hAnsi="Calibri" w:cs="Calibri"/>
                      <w:b/>
                      <w:bCs/>
                      <w:color w:val="800000"/>
                      <w:sz w:val="22"/>
                    </w:rPr>
                    <w:t xml:space="preserve">Origins and discrimination between local and regional atmospheric pollution in Haiphong (Vietnam), based on </w:t>
                  </w:r>
                  <w:proofErr w:type="gramStart"/>
                  <w:r w:rsidRPr="00116AF4">
                    <w:rPr>
                      <w:rFonts w:ascii="Calibri" w:eastAsia="Times New Roman" w:hAnsi="Calibri" w:cs="Calibri"/>
                      <w:b/>
                      <w:bCs/>
                      <w:color w:val="800000"/>
                      <w:sz w:val="22"/>
                    </w:rPr>
                    <w:t>metal(</w:t>
                  </w:r>
                  <w:proofErr w:type="gramEnd"/>
                  <w:r w:rsidRPr="00116AF4">
                    <w:rPr>
                      <w:rFonts w:ascii="Calibri" w:eastAsia="Times New Roman" w:hAnsi="Calibri" w:cs="Calibri"/>
                      <w:b/>
                      <w:bCs/>
                      <w:color w:val="800000"/>
                      <w:sz w:val="22"/>
                    </w:rPr>
                    <w:t>loid) concentrations and lead isotopic ratios in PM10.</w:t>
                  </w:r>
                  <w:bookmarkEnd w:id="42"/>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Sandrine </w:t>
                  </w:r>
                  <w:proofErr w:type="spellStart"/>
                  <w:r w:rsidRPr="00116AF4">
                    <w:rPr>
                      <w:rFonts w:ascii="Arial" w:eastAsia="Times New Roman" w:hAnsi="Arial" w:cs="Arial"/>
                      <w:szCs w:val="24"/>
                    </w:rPr>
                    <w:t>Chifflet</w:t>
                  </w:r>
                  <w:proofErr w:type="spellEnd"/>
                  <w:r w:rsidRPr="00116AF4">
                    <w:rPr>
                      <w:rFonts w:ascii="Arial" w:eastAsia="Times New Roman" w:hAnsi="Arial" w:cs="Arial"/>
                      <w:szCs w:val="24"/>
                    </w:rPr>
                    <w:t xml:space="preserve">, David </w:t>
                  </w:r>
                  <w:proofErr w:type="spellStart"/>
                  <w:r w:rsidRPr="00116AF4">
                    <w:rPr>
                      <w:rFonts w:ascii="Arial" w:eastAsia="Times New Roman" w:hAnsi="Arial" w:cs="Arial"/>
                      <w:szCs w:val="24"/>
                    </w:rPr>
                    <w:t>Amouroux</w:t>
                  </w:r>
                  <w:proofErr w:type="spellEnd"/>
                  <w:r w:rsidRPr="00116AF4">
                    <w:rPr>
                      <w:rFonts w:ascii="Arial" w:eastAsia="Times New Roman" w:hAnsi="Arial" w:cs="Arial"/>
                      <w:szCs w:val="24"/>
                    </w:rPr>
                    <w:t xml:space="preserve">, Sylvain </w:t>
                  </w:r>
                  <w:proofErr w:type="spellStart"/>
                  <w:r w:rsidRPr="00116AF4">
                    <w:rPr>
                      <w:rFonts w:ascii="Arial" w:eastAsia="Times New Roman" w:hAnsi="Arial" w:cs="Arial"/>
                      <w:szCs w:val="24"/>
                    </w:rPr>
                    <w:t>Bérail</w:t>
                  </w:r>
                  <w:proofErr w:type="spellEnd"/>
                  <w:r w:rsidRPr="00116AF4">
                    <w:rPr>
                      <w:rFonts w:ascii="Arial" w:eastAsia="Times New Roman" w:hAnsi="Arial" w:cs="Arial"/>
                      <w:szCs w:val="24"/>
                    </w:rPr>
                    <w:t xml:space="preserve">, Julien Barre, </w:t>
                  </w:r>
                  <w:proofErr w:type="spellStart"/>
                  <w:r w:rsidRPr="00116AF4">
                    <w:rPr>
                      <w:rFonts w:ascii="Arial" w:eastAsia="Times New Roman" w:hAnsi="Arial" w:cs="Arial"/>
                      <w:szCs w:val="24"/>
                    </w:rPr>
                    <w:t>Thuoc</w:t>
                  </w:r>
                  <w:proofErr w:type="spellEnd"/>
                  <w:r w:rsidRPr="00116AF4">
                    <w:rPr>
                      <w:rFonts w:ascii="Arial" w:eastAsia="Times New Roman" w:hAnsi="Arial" w:cs="Arial"/>
                      <w:szCs w:val="24"/>
                    </w:rPr>
                    <w:t xml:space="preserve"> Chu Van and others. Environmental Science and Pollution Research,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Southeast Asia is a hotspot of anthropogenic emissions where episodes of recurrent and prolonged atmospheric pollution can lead to the formation of large haze events, giving rise to wide plumes which spread over adjacent oceans and </w:t>
                  </w:r>
                  <w:proofErr w:type="spellStart"/>
                  <w:r w:rsidRPr="00116AF4">
                    <w:rPr>
                      <w:rFonts w:ascii="Arial" w:eastAsia="Times New Roman" w:hAnsi="Arial" w:cs="Arial"/>
                      <w:szCs w:val="24"/>
                    </w:rPr>
                    <w:t>neighbouring</w:t>
                  </w:r>
                  <w:proofErr w:type="spellEnd"/>
                  <w:r w:rsidRPr="00116AF4">
                    <w:rPr>
                      <w:rFonts w:ascii="Arial" w:eastAsia="Times New Roman" w:hAnsi="Arial" w:cs="Arial"/>
                      <w:szCs w:val="24"/>
                    </w:rPr>
                    <w:t xml:space="preserve"> countries. Trace metal concentrations and </w:t>
                  </w:r>
                  <w:proofErr w:type="spellStart"/>
                  <w:r w:rsidRPr="00116AF4">
                    <w:rPr>
                      <w:rFonts w:ascii="Arial" w:eastAsia="Times New Roman" w:hAnsi="Arial" w:cs="Arial"/>
                      <w:szCs w:val="24"/>
                    </w:rPr>
                    <w:t>Pb</w:t>
                  </w:r>
                  <w:proofErr w:type="spellEnd"/>
                  <w:r w:rsidRPr="00116AF4">
                    <w:rPr>
                      <w:rFonts w:ascii="Arial" w:eastAsia="Times New Roman" w:hAnsi="Arial" w:cs="Arial"/>
                      <w:szCs w:val="24"/>
                    </w:rPr>
                    <w:t xml:space="preserve"> isotopic ratios in atmospheric particulate matter &lt; 10 </w:t>
                  </w:r>
                  <w:proofErr w:type="spellStart"/>
                  <w:r w:rsidRPr="00116AF4">
                    <w:rPr>
                      <w:rFonts w:ascii="Arial" w:eastAsia="Times New Roman" w:hAnsi="Arial" w:cs="Arial"/>
                      <w:szCs w:val="24"/>
                    </w:rPr>
                    <w:t>μm</w:t>
                  </w:r>
                  <w:proofErr w:type="spellEnd"/>
                  <w:r w:rsidRPr="00116AF4">
                    <w:rPr>
                      <w:rFonts w:ascii="Arial" w:eastAsia="Times New Roman" w:hAnsi="Arial" w:cs="Arial"/>
                      <w:szCs w:val="24"/>
                    </w:rPr>
                    <w:t xml:space="preserve"> (PM10) were used to track the origins and the transport pathways of atmospheric pollutants. This approach was used for fortnightly PM10 collections over a complete annual cycle in Haiphong, northern Vietnam. Distinct seasonal patterns were observed for the trace metal concentration </w:t>
                  </w:r>
                  <w:r w:rsidRPr="00116AF4">
                    <w:rPr>
                      <w:rFonts w:ascii="Arial" w:eastAsia="Times New Roman" w:hAnsi="Arial" w:cs="Arial"/>
                      <w:szCs w:val="24"/>
                    </w:rPr>
                    <w:lastRenderedPageBreak/>
                    <w:t xml:space="preserve">in PM10, with a maximum during the Northeast (NE) monsoon and a minimum during the Southeast (SE) monsoon. Some elements (As, Cd, </w:t>
                  </w:r>
                  <w:proofErr w:type="spellStart"/>
                  <w:r w:rsidRPr="00116AF4">
                    <w:rPr>
                      <w:rFonts w:ascii="Arial" w:eastAsia="Times New Roman" w:hAnsi="Arial" w:cs="Arial"/>
                      <w:szCs w:val="24"/>
                    </w:rPr>
                    <w:t>Mn</w:t>
                  </w:r>
                  <w:proofErr w:type="spellEnd"/>
                  <w:r w:rsidRPr="00116AF4">
                    <w:rPr>
                      <w:rFonts w:ascii="Arial" w:eastAsia="Times New Roman" w:hAnsi="Arial" w:cs="Arial"/>
                      <w:szCs w:val="24"/>
                    </w:rPr>
                    <w:t xml:space="preserve">) were found in excess according to the World Health Organization guidelines. Coal combustion was highlighted with enrichment factors of As, Cd, Se, and Sb, but these inputs were outdistanced by other anthropogenic activities. V/Ni and Cu/Sb ratios were found to be markers of oil combustion, while </w:t>
                  </w:r>
                  <w:proofErr w:type="spellStart"/>
                  <w:r w:rsidRPr="00116AF4">
                    <w:rPr>
                      <w:rFonts w:ascii="Arial" w:eastAsia="Times New Roman" w:hAnsi="Arial" w:cs="Arial"/>
                      <w:szCs w:val="24"/>
                    </w:rPr>
                    <w:t>Pb</w:t>
                  </w:r>
                  <w:proofErr w:type="spellEnd"/>
                  <w:r w:rsidRPr="00116AF4">
                    <w:rPr>
                      <w:rFonts w:ascii="Arial" w:eastAsia="Times New Roman" w:hAnsi="Arial" w:cs="Arial"/>
                      <w:szCs w:val="24"/>
                    </w:rPr>
                    <w:t>/Cd and Zn/</w:t>
                  </w:r>
                  <w:proofErr w:type="spellStart"/>
                  <w:r w:rsidRPr="00116AF4">
                    <w:rPr>
                      <w:rFonts w:ascii="Arial" w:eastAsia="Times New Roman" w:hAnsi="Arial" w:cs="Arial"/>
                      <w:szCs w:val="24"/>
                    </w:rPr>
                    <w:t>Pb</w:t>
                  </w:r>
                  <w:proofErr w:type="spellEnd"/>
                  <w:r w:rsidRPr="00116AF4">
                    <w:rPr>
                      <w:rFonts w:ascii="Arial" w:eastAsia="Times New Roman" w:hAnsi="Arial" w:cs="Arial"/>
                      <w:szCs w:val="24"/>
                    </w:rPr>
                    <w:t xml:space="preserve"> ratios were found to be markers of industrial activities. </w:t>
                  </w:r>
                  <w:proofErr w:type="spellStart"/>
                  <w:r w:rsidRPr="00116AF4">
                    <w:rPr>
                      <w:rFonts w:ascii="Arial" w:eastAsia="Times New Roman" w:hAnsi="Arial" w:cs="Arial"/>
                      <w:szCs w:val="24"/>
                    </w:rPr>
                    <w:t>Pb</w:t>
                  </w:r>
                  <w:proofErr w:type="spellEnd"/>
                  <w:r w:rsidRPr="00116AF4">
                    <w:rPr>
                      <w:rFonts w:ascii="Arial" w:eastAsia="Times New Roman" w:hAnsi="Arial" w:cs="Arial"/>
                      <w:szCs w:val="24"/>
                    </w:rPr>
                    <w:t xml:space="preserve"> isotopic composition in PM10 revealed an important contribution of soil dusts (45–60%). In PM10, the </w:t>
                  </w:r>
                  <w:proofErr w:type="spellStart"/>
                  <w:r w:rsidRPr="00116AF4">
                    <w:rPr>
                      <w:rFonts w:ascii="Arial" w:eastAsia="Times New Roman" w:hAnsi="Arial" w:cs="Arial"/>
                      <w:szCs w:val="24"/>
                    </w:rPr>
                    <w:t>Pb</w:t>
                  </w:r>
                  <w:proofErr w:type="spellEnd"/>
                  <w:r w:rsidRPr="00116AF4">
                    <w:rPr>
                      <w:rFonts w:ascii="Arial" w:eastAsia="Times New Roman" w:hAnsi="Arial" w:cs="Arial"/>
                      <w:szCs w:val="24"/>
                    </w:rPr>
                    <w:t xml:space="preserve"> fraction due to oil combustion was correlated with dominant airflow pathways (31% during the north-easterlies and 20% during the south-easterlies), and the </w:t>
                  </w:r>
                  <w:proofErr w:type="spellStart"/>
                  <w:r w:rsidRPr="00116AF4">
                    <w:rPr>
                      <w:rFonts w:ascii="Arial" w:eastAsia="Times New Roman" w:hAnsi="Arial" w:cs="Arial"/>
                      <w:szCs w:val="24"/>
                    </w:rPr>
                    <w:t>Pb</w:t>
                  </w:r>
                  <w:proofErr w:type="spellEnd"/>
                  <w:r w:rsidRPr="00116AF4">
                    <w:rPr>
                      <w:rFonts w:ascii="Arial" w:eastAsia="Times New Roman" w:hAnsi="Arial" w:cs="Arial"/>
                      <w:szCs w:val="24"/>
                    </w:rPr>
                    <w:t xml:space="preserve"> fraction resulting from industrial emissions was stable (around 28%) throughout the year. During the SE monsoon, </w:t>
                  </w:r>
                  <w:proofErr w:type="spellStart"/>
                  <w:r w:rsidRPr="00116AF4">
                    <w:rPr>
                      <w:rFonts w:ascii="Arial" w:eastAsia="Times New Roman" w:hAnsi="Arial" w:cs="Arial"/>
                      <w:szCs w:val="24"/>
                    </w:rPr>
                    <w:t>Pb</w:t>
                  </w:r>
                  <w:proofErr w:type="spellEnd"/>
                  <w:r w:rsidRPr="00116AF4">
                    <w:rPr>
                      <w:rFonts w:ascii="Arial" w:eastAsia="Times New Roman" w:hAnsi="Arial" w:cs="Arial"/>
                      <w:szCs w:val="24"/>
                    </w:rPr>
                    <w:t xml:space="preserve"> inputs were mainly attributed to resuspension of local soil dusts (about 90%), and during the NE monsoon, the increase of </w:t>
                  </w:r>
                  <w:proofErr w:type="spellStart"/>
                  <w:r w:rsidRPr="00116AF4">
                    <w:rPr>
                      <w:rFonts w:ascii="Arial" w:eastAsia="Times New Roman" w:hAnsi="Arial" w:cs="Arial"/>
                      <w:szCs w:val="24"/>
                    </w:rPr>
                    <w:t>Pb</w:t>
                  </w:r>
                  <w:proofErr w:type="spellEnd"/>
                  <w:r w:rsidRPr="00116AF4">
                    <w:rPr>
                      <w:rFonts w:ascii="Arial" w:eastAsia="Times New Roman" w:hAnsi="Arial" w:cs="Arial"/>
                      <w:szCs w:val="24"/>
                    </w:rPr>
                    <w:t xml:space="preserve"> inPM10 was due to the mixing of local and regional inputs.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31"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43" w:name="m_2775912902713410657__Toc522026489"/>
                  <w:r w:rsidRPr="00116AF4">
                    <w:rPr>
                      <w:rFonts w:ascii="Arial" w:eastAsia="Times New Roman" w:hAnsi="Arial" w:cs="Arial"/>
                      <w:b/>
                      <w:bCs/>
                      <w:color w:val="FFFFFF"/>
                      <w:kern w:val="36"/>
                      <w:sz w:val="48"/>
                      <w:szCs w:val="48"/>
                    </w:rPr>
                    <w:t>GENDER</w:t>
                  </w:r>
                  <w:bookmarkEnd w:id="43"/>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44" w:name="m_2775912902713410657__Toc522026490"/>
                  <w:r w:rsidRPr="00116AF4">
                    <w:rPr>
                      <w:rFonts w:ascii="Calibri" w:eastAsia="Times New Roman" w:hAnsi="Calibri" w:cs="Calibri"/>
                      <w:b/>
                      <w:bCs/>
                      <w:color w:val="800000"/>
                      <w:sz w:val="22"/>
                    </w:rPr>
                    <w:t>Female Autocrats As Role Models? The Effect of Female Leaders on Political Knowledge and Engagement in Vietnam.</w:t>
                  </w:r>
                  <w:bookmarkEnd w:id="44"/>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Paul Schuler,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32" w:tgtFrame="_blank" w:history="1">
                    <w:r w:rsidRPr="00116AF4">
                      <w:rPr>
                        <w:rFonts w:ascii="Arial" w:eastAsia="Times New Roman" w:hAnsi="Arial" w:cs="Arial"/>
                        <w:color w:val="1155CC"/>
                        <w:szCs w:val="24"/>
                        <w:u w:val="single"/>
                      </w:rPr>
                      <w:t>https://static1.squarespace.com/static/5b1bf8b6f2e6b18447c9e78c/t/5b4289e803ce641f98056ded/1531087337745/Schuler+Gender+Knowledge+Vietnam.pdf</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Research shows that the presence of more female politicians can reduce gender gaps in political knowledge. Despite these findings, no study examines whether the role model effect applies to autocracies. This is an important oversight given the role political knowledge plays in increasing the use of non-electoral forms of accountability. To test whether female</w:t>
                  </w:r>
                  <w:proofErr w:type="gramStart"/>
                  <w:r w:rsidRPr="00116AF4">
                    <w:rPr>
                      <w:rFonts w:ascii="Arial" w:eastAsia="Times New Roman" w:hAnsi="Arial" w:cs="Arial"/>
                      <w:szCs w:val="24"/>
                    </w:rPr>
                    <w:t>  political</w:t>
                  </w:r>
                  <w:proofErr w:type="gramEnd"/>
                  <w:r w:rsidRPr="00116AF4">
                    <w:rPr>
                      <w:rFonts w:ascii="Arial" w:eastAsia="Times New Roman" w:hAnsi="Arial" w:cs="Arial"/>
                      <w:szCs w:val="24"/>
                    </w:rPr>
                    <w:t xml:space="preserve"> role models increase knowledge in autocracies, this study uses unique survey data from Vietnam occurring before and after a leadership change. In the transition, all the top leaders changed from males to male except for legislative speaker, which transitioned from male to female. Results show that her selection increased name recognition for her position at a higher rate compared to men and that women were more likely to pay attention to </w:t>
                  </w:r>
                  <w:r w:rsidRPr="00116AF4">
                    <w:rPr>
                      <w:rFonts w:ascii="Arial" w:eastAsia="Times New Roman" w:hAnsi="Arial" w:cs="Arial"/>
                      <w:szCs w:val="24"/>
                    </w:rPr>
                    <w:lastRenderedPageBreak/>
                    <w:t>legislative proceedings after her selection. These findings suggest that efforts to push gender equity in autocratic leadership positions may be useful.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45" w:name="m_2775912902713410657__Toc522026491"/>
                  <w:r w:rsidRPr="00116AF4">
                    <w:rPr>
                      <w:rFonts w:ascii="Calibri" w:eastAsia="Times New Roman" w:hAnsi="Calibri" w:cs="Calibri"/>
                      <w:b/>
                      <w:bCs/>
                      <w:color w:val="800000"/>
                      <w:sz w:val="22"/>
                    </w:rPr>
                    <w:t>A “Wife’s Duty” and Social Suffering: Sexual Assault in Marital Relationships in Vietnam.</w:t>
                  </w:r>
                  <w:bookmarkEnd w:id="45"/>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Lynn Kwiatkowski. Journal of Aggression, Maltreatment &amp; Trauma, 2018, pp. 1-17.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Sexual assault in marital relationships tends to be somewhat neglected in Vietnam compared to other forms of domestic violence. This relative neglect does not occur because of a lack of concern for abused women among Vietnamese people. Rather, it is due to structural barriers, cultural assumptions and stigma associated with sexuality, sexual violence, domestic violence, and secrecy, or misunderstanding on the part of many abused Vietnamese women. Yet, these women confront a variety of emotional, bodily, and social assaults from their husbands. Suffering is commonly expressed by abused Vietnamese women as they narrate their experiences of the violence. Abused women express their suffering as bodily and emotional pain, shame, frustration, disorientation, and social marginalization. Contemporary marital sexual violence and domestic violence more broadly in Vietnam are linked to the </w:t>
                  </w:r>
                  <w:proofErr w:type="spellStart"/>
                  <w:r w:rsidRPr="00116AF4">
                    <w:rPr>
                      <w:rFonts w:ascii="Arial" w:eastAsia="Times New Roman" w:hAnsi="Arial" w:cs="Arial"/>
                      <w:szCs w:val="24"/>
                    </w:rPr>
                    <w:t>state</w:t>
                  </w:r>
                  <w:proofErr w:type="gramStart"/>
                  <w:r w:rsidRPr="00116AF4">
                    <w:rPr>
                      <w:rFonts w:ascii="Arial" w:eastAsia="Times New Roman" w:hAnsi="Arial" w:cs="Arial"/>
                      <w:szCs w:val="24"/>
                    </w:rPr>
                    <w:t>?s</w:t>
                  </w:r>
                  <w:proofErr w:type="spellEnd"/>
                  <w:proofErr w:type="gramEnd"/>
                  <w:r w:rsidRPr="00116AF4">
                    <w:rPr>
                      <w:rFonts w:ascii="Arial" w:eastAsia="Times New Roman" w:hAnsi="Arial" w:cs="Arial"/>
                      <w:szCs w:val="24"/>
                    </w:rPr>
                    <w:t xml:space="preserve"> emergent political and economic goals, as well as gender and kinship ideologies drawn upon in support of these goals. These processes have resulted in abused women experiencing social suffering derived from intersecting Vietnamese state, cultural, and social forces. I suggest institutional practices, and non-supportive perspectives and approaches of some professionals and state employees assisting abused </w:t>
                  </w:r>
                  <w:proofErr w:type="gramStart"/>
                  <w:r w:rsidRPr="00116AF4">
                    <w:rPr>
                      <w:rFonts w:ascii="Arial" w:eastAsia="Times New Roman" w:hAnsi="Arial" w:cs="Arial"/>
                      <w:szCs w:val="24"/>
                    </w:rPr>
                    <w:t>women,</w:t>
                  </w:r>
                  <w:proofErr w:type="gramEnd"/>
                  <w:r w:rsidRPr="00116AF4">
                    <w:rPr>
                      <w:rFonts w:ascii="Arial" w:eastAsia="Times New Roman" w:hAnsi="Arial" w:cs="Arial"/>
                      <w:szCs w:val="24"/>
                    </w:rPr>
                    <w:t xml:space="preserve"> have made addressing marital sexual violence a difficult and painful process, as well as an additional source of suffering. Second, layered upon these structural and cultural barriers has been the neglect by some professionals of intersecting inequalities based on gender, class, and disability. Third, some institutions in Vietnam provide more effective and beneficial assistance to abused women, making the process of acquiring assistance complex.</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977307"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33"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46" w:name="m_2775912902713410657__Toc522026492"/>
                  <w:r w:rsidRPr="00116AF4">
                    <w:rPr>
                      <w:rFonts w:ascii="Arial" w:eastAsia="Times New Roman" w:hAnsi="Arial" w:cs="Arial"/>
                      <w:b/>
                      <w:bCs/>
                      <w:color w:val="FFFFFF"/>
                      <w:kern w:val="36"/>
                      <w:sz w:val="48"/>
                      <w:szCs w:val="48"/>
                    </w:rPr>
                    <w:t>GOVERNANCE</w:t>
                  </w:r>
                  <w:bookmarkEnd w:id="46"/>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47" w:name="m_2775912902713410657__Toc522026493"/>
                  <w:r w:rsidRPr="00116AF4">
                    <w:rPr>
                      <w:rFonts w:ascii="Calibri" w:eastAsia="Times New Roman" w:hAnsi="Calibri" w:cs="Calibri"/>
                      <w:b/>
                      <w:bCs/>
                      <w:color w:val="800000"/>
                      <w:sz w:val="22"/>
                    </w:rPr>
                    <w:t>Activist PR in Vietnam: Public participation via Facebook to save 6,700 trees.</w:t>
                  </w:r>
                  <w:bookmarkEnd w:id="47"/>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xml:space="preserve">Nguyen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Thanh </w:t>
                  </w:r>
                  <w:proofErr w:type="spellStart"/>
                  <w:r w:rsidRPr="00116AF4">
                    <w:rPr>
                      <w:rFonts w:ascii="Arial" w:eastAsia="Times New Roman" w:hAnsi="Arial" w:cs="Arial"/>
                      <w:szCs w:val="24"/>
                    </w:rPr>
                    <w:t>Huyen</w:t>
                  </w:r>
                  <w:proofErr w:type="spellEnd"/>
                  <w:r w:rsidRPr="00116AF4">
                    <w:rPr>
                      <w:rFonts w:ascii="Arial" w:eastAsia="Times New Roman" w:hAnsi="Arial" w:cs="Arial"/>
                      <w:szCs w:val="24"/>
                    </w:rPr>
                    <w:t xml:space="preserve"> and Nguyen Hoang Anh. </w:t>
                  </w:r>
                  <w:proofErr w:type="gramStart"/>
                  <w:r w:rsidRPr="00116AF4">
                    <w:rPr>
                      <w:rFonts w:ascii="Arial" w:eastAsia="Times New Roman" w:hAnsi="Arial" w:cs="Arial"/>
                      <w:szCs w:val="24"/>
                    </w:rPr>
                    <w:t>in</w:t>
                  </w:r>
                  <w:proofErr w:type="gramEnd"/>
                  <w:r w:rsidRPr="00116AF4">
                    <w:rPr>
                      <w:rFonts w:ascii="Arial" w:eastAsia="Times New Roman" w:hAnsi="Arial" w:cs="Arial"/>
                      <w:szCs w:val="24"/>
                    </w:rPr>
                    <w:t>: Protest Public Relations: Communicating dissent and activism, Routledge, 2019.</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Global movements and protests from the Arab Spring to the Occupy Movement have been attributed to growing access to social media, while without it, local causes like #</w:t>
                  </w:r>
                  <w:proofErr w:type="spellStart"/>
                  <w:r w:rsidRPr="00116AF4">
                    <w:rPr>
                      <w:rFonts w:ascii="Arial" w:eastAsia="Times New Roman" w:hAnsi="Arial" w:cs="Arial"/>
                      <w:szCs w:val="24"/>
                    </w:rPr>
                    <w:t>bringbackourgirls</w:t>
                  </w:r>
                  <w:proofErr w:type="spellEnd"/>
                  <w:r w:rsidRPr="00116AF4">
                    <w:rPr>
                      <w:rFonts w:ascii="Arial" w:eastAsia="Times New Roman" w:hAnsi="Arial" w:cs="Arial"/>
                      <w:szCs w:val="24"/>
                    </w:rPr>
                    <w:t xml:space="preserve"> and the ice bucket challenge may have otherwise remained unheard and unseen. --- Regardless of their nature - advocacy, activism, protest or dissent – and beyond the technological ability of digital and social media to connect support, these major events have all been the results of excellent communication and public relations. But PR remains seen only as the defender of corporate and capitalist interests, and therefore resistant to outside voices such as activists, NGOs, union members, protesters and whistle-blowers. --- Drawing on contributions from around the world to examine the concepts and practice of "activist", "protest" and "dissent" public relations, this book challenges this view. Using a range of international examples, it explores the changing nature of protest and its relationship with PR and provides a radical analysis of the communication strategies and tactics of social movements and activist groups and their campaigns. This thought-provoking collection will be of interest to researchers and advanced students of public relations, strategic communication, political science, politics, journalism, marketing, and advertising, and also to PR professionals in think tanks and NGOs.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48" w:name="m_2775912902713410657__Toc522026494"/>
                  <w:r w:rsidRPr="00116AF4">
                    <w:rPr>
                      <w:rFonts w:ascii="Calibri" w:eastAsia="Times New Roman" w:hAnsi="Calibri" w:cs="Calibri"/>
                      <w:b/>
                      <w:bCs/>
                      <w:color w:val="800000"/>
                      <w:sz w:val="22"/>
                    </w:rPr>
                    <w:t>Corruption practices in drug prescribing in Vietnam - an analysis based on qualitative interviews.</w:t>
                  </w:r>
                  <w:bookmarkEnd w:id="48"/>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Tuan A Nguyen, Rosemary Knight, Andrea </w:t>
                  </w:r>
                  <w:proofErr w:type="spellStart"/>
                  <w:r w:rsidRPr="00116AF4">
                    <w:rPr>
                      <w:rFonts w:ascii="Arial" w:eastAsia="Times New Roman" w:hAnsi="Arial" w:cs="Arial"/>
                      <w:szCs w:val="24"/>
                    </w:rPr>
                    <w:t>Mant</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Husna</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Razee</w:t>
                  </w:r>
                  <w:proofErr w:type="spellEnd"/>
                  <w:r w:rsidRPr="00116AF4">
                    <w:rPr>
                      <w:rFonts w:ascii="Arial" w:eastAsia="Times New Roman" w:hAnsi="Arial" w:cs="Arial"/>
                      <w:szCs w:val="24"/>
                    </w:rPr>
                    <w:t xml:space="preserve">, Geoffrey Brooks and others. BMC Health </w:t>
                  </w:r>
                  <w:proofErr w:type="spellStart"/>
                  <w:r w:rsidRPr="00116AF4">
                    <w:rPr>
                      <w:rFonts w:ascii="Arial" w:eastAsia="Times New Roman" w:hAnsi="Arial" w:cs="Arial"/>
                      <w:szCs w:val="24"/>
                    </w:rPr>
                    <w:t>Serv</w:t>
                  </w:r>
                  <w:proofErr w:type="spellEnd"/>
                  <w:r w:rsidRPr="00116AF4">
                    <w:rPr>
                      <w:rFonts w:ascii="Arial" w:eastAsia="Times New Roman" w:hAnsi="Arial" w:cs="Arial"/>
                      <w:szCs w:val="24"/>
                    </w:rPr>
                    <w:t xml:space="preserve"> Res, 2018, volume 18, number 1, p. 587.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BACKGROUND: Results from a previous study showed that 40 to 60% of the price of off-patent medicines in Vietnam was typically spent to induce prescribers to use the medicines, and to persuade procurement officers within hospitals to buy them. In this article we examine how and why inducements were paid by the pharmaceutical industry to health care providers in Vietnam. METHODS: We use a theoretically informed analysis to understand pharmaceutical companies' account of giving inducements and prescribers' account of taking them, elicited through in-depth interviews. RESULTS: Analysis of the emergent concepts derived from our qualitative data led to viewing the constructs from the theoretical framework of opportunities; pressures; and rationalization within a hierarchy of systemic factors and individual factors. Economic survival pressures in an imperfectly competitive market reportedly encouraged pharmaceutical companies and prescribers to be </w:t>
                  </w:r>
                  <w:r w:rsidRPr="00116AF4">
                    <w:rPr>
                      <w:rFonts w:ascii="Arial" w:eastAsia="Times New Roman" w:hAnsi="Arial" w:cs="Arial"/>
                      <w:szCs w:val="24"/>
                    </w:rPr>
                    <w:lastRenderedPageBreak/>
                    <w:t>linked financially. Although individual factors such as professional ethics and personal values influenced doctors' responses to corrupt practices, entrenched systemic issues, including lack of transparency, accountability, poor enforcement of legislation and prevalence of corruption emerged as important factors supporting corrupt practice or even making it very difficult for individuals to opt out of corrupt practices. CONCLUSIONS: Our theoretically informed analysis of inducements provides an in-depth understanding of an angle of corruption in Vietnam's health sector, showing the need for multifaceted strategies in the fight against corruption in the health sector. Remedial strategies need to address both systemic and individual factors including interventions to relieve dependencies for survival of health care services on the corrupt system.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34"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49" w:name="m_2775912902713410657__Toc522026495"/>
                  <w:r w:rsidRPr="00116AF4">
                    <w:rPr>
                      <w:rFonts w:ascii="Arial" w:eastAsia="Times New Roman" w:hAnsi="Arial" w:cs="Arial"/>
                      <w:b/>
                      <w:bCs/>
                      <w:color w:val="FFFFFF"/>
                      <w:kern w:val="36"/>
                      <w:sz w:val="48"/>
                      <w:szCs w:val="48"/>
                    </w:rPr>
                    <w:t>HEALTCH CARE</w:t>
                  </w:r>
                  <w:bookmarkEnd w:id="49"/>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0" w:name="m_2775912902713410657__Toc522026496"/>
                  <w:r w:rsidRPr="00116AF4">
                    <w:rPr>
                      <w:rFonts w:ascii="Calibri" w:eastAsia="Times New Roman" w:hAnsi="Calibri" w:cs="Calibri"/>
                      <w:b/>
                      <w:bCs/>
                      <w:color w:val="800000"/>
                      <w:sz w:val="22"/>
                    </w:rPr>
                    <w:t>Medical Services for a Provincial Hospital in Vietnam: Cost Analysis for Data Management.</w:t>
                  </w:r>
                  <w:bookmarkEnd w:id="50"/>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Phung</w:t>
                  </w:r>
                  <w:proofErr w:type="spellEnd"/>
                  <w:r w:rsidRPr="00116AF4">
                    <w:rPr>
                      <w:rFonts w:ascii="Arial" w:eastAsia="Times New Roman" w:hAnsi="Arial" w:cs="Arial"/>
                      <w:szCs w:val="24"/>
                    </w:rPr>
                    <w:t xml:space="preserve"> Thu </w:t>
                  </w:r>
                  <w:proofErr w:type="spellStart"/>
                  <w:r w:rsidRPr="00116AF4">
                    <w:rPr>
                      <w:rFonts w:ascii="Arial" w:eastAsia="Times New Roman" w:hAnsi="Arial" w:cs="Arial"/>
                      <w:szCs w:val="24"/>
                    </w:rPr>
                    <w:t>Hoa</w:t>
                  </w:r>
                  <w:proofErr w:type="spellEnd"/>
                  <w:r w:rsidRPr="00116AF4">
                    <w:rPr>
                      <w:rFonts w:ascii="Arial" w:eastAsia="Times New Roman" w:hAnsi="Arial" w:cs="Arial"/>
                      <w:szCs w:val="24"/>
                    </w:rPr>
                    <w:t xml:space="preserve"> Tran, </w:t>
                  </w:r>
                  <w:proofErr w:type="spellStart"/>
                  <w:r w:rsidRPr="00116AF4">
                    <w:rPr>
                      <w:rFonts w:ascii="Arial" w:eastAsia="Times New Roman" w:hAnsi="Arial" w:cs="Arial"/>
                      <w:szCs w:val="24"/>
                    </w:rPr>
                    <w:t>Trung</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Quang</w:t>
                  </w:r>
                  <w:proofErr w:type="spellEnd"/>
                  <w:r w:rsidRPr="00116AF4">
                    <w:rPr>
                      <w:rFonts w:ascii="Arial" w:eastAsia="Times New Roman" w:hAnsi="Arial" w:cs="Arial"/>
                      <w:szCs w:val="24"/>
                    </w:rPr>
                    <w:t xml:space="preserve"> Vo, </w:t>
                  </w:r>
                  <w:proofErr w:type="spellStart"/>
                  <w:r w:rsidRPr="00116AF4">
                    <w:rPr>
                      <w:rFonts w:ascii="Arial" w:eastAsia="Times New Roman" w:hAnsi="Arial" w:cs="Arial"/>
                      <w:szCs w:val="24"/>
                    </w:rPr>
                    <w:t>Duyen</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Phuong Huynh, </w:t>
                  </w:r>
                  <w:proofErr w:type="spellStart"/>
                  <w:r w:rsidRPr="00116AF4">
                    <w:rPr>
                      <w:rFonts w:ascii="Arial" w:eastAsia="Times New Roman" w:hAnsi="Arial" w:cs="Arial"/>
                      <w:szCs w:val="24"/>
                    </w:rPr>
                    <w:t>Luyen</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Dinh</w:t>
                  </w:r>
                  <w:proofErr w:type="spellEnd"/>
                  <w:r w:rsidRPr="00116AF4">
                    <w:rPr>
                      <w:rFonts w:ascii="Arial" w:eastAsia="Times New Roman" w:hAnsi="Arial" w:cs="Arial"/>
                      <w:szCs w:val="24"/>
                    </w:rPr>
                    <w:t xml:space="preserve"> Pham and Thuy Van Ha. Journal of Clinical and Diagnostic Research, 2018, volume 12, number 6.</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35" w:tgtFrame="_blank" w:history="1">
                    <w:r w:rsidRPr="00116AF4">
                      <w:rPr>
                        <w:rFonts w:ascii="Arial" w:eastAsia="Times New Roman" w:hAnsi="Arial" w:cs="Arial"/>
                        <w:color w:val="1155CC"/>
                        <w:szCs w:val="24"/>
                        <w:u w:val="single"/>
                      </w:rPr>
                      <w:t>https://www.researchgate.net/profile/Trung_Quang_Vo/publication/326627316_Medical_Services_for_a_Provincial_Hospital_in_Vietnam_Cost_Analysis_for_Data_Management/links/5b5d2016aca272a2d6727711/Medical-Services-for-a-Provincial-Hospital-in-Vietnam-Cost-Analysis-for-Data-Management.pdf</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Introduction: Health care expenditure has been increasing in both developing and developed nations, but control or improved efficiency can be obtained by applying health economics in management. The unit cost of health care services play a critical role in health economic analyses that involve health economic evaluations. --- Aim: To identify the unit costs of medical services at the General Hospital in Lam Dong, Vietnam. Materials and Methods: A standard costing approach was applied to calculate unit cost of medical services. This study was a retrospective cost analysis, using the descriptive statistic function in Microsoft Excel for Window®. All cost </w:t>
                  </w:r>
                  <w:proofErr w:type="spellStart"/>
                  <w:r w:rsidRPr="00116AF4">
                    <w:rPr>
                      <w:rFonts w:ascii="Arial" w:eastAsia="Times New Roman" w:hAnsi="Arial" w:cs="Arial"/>
                      <w:szCs w:val="24"/>
                    </w:rPr>
                    <w:t>centres</w:t>
                  </w:r>
                  <w:proofErr w:type="spellEnd"/>
                  <w:r w:rsidRPr="00116AF4">
                    <w:rPr>
                      <w:rFonts w:ascii="Arial" w:eastAsia="Times New Roman" w:hAnsi="Arial" w:cs="Arial"/>
                      <w:szCs w:val="24"/>
                    </w:rPr>
                    <w:t xml:space="preserve"> in the institute were identified and classified into two categories: Temporary Cost </w:t>
                  </w:r>
                  <w:proofErr w:type="spellStart"/>
                  <w:r w:rsidRPr="00116AF4">
                    <w:rPr>
                      <w:rFonts w:ascii="Arial" w:eastAsia="Times New Roman" w:hAnsi="Arial" w:cs="Arial"/>
                      <w:szCs w:val="24"/>
                    </w:rPr>
                    <w:t>Centres</w:t>
                  </w:r>
                  <w:proofErr w:type="spellEnd"/>
                  <w:r w:rsidRPr="00116AF4">
                    <w:rPr>
                      <w:rFonts w:ascii="Arial" w:eastAsia="Times New Roman" w:hAnsi="Arial" w:cs="Arial"/>
                      <w:szCs w:val="24"/>
                    </w:rPr>
                    <w:t xml:space="preserve"> (TCCs) and Absorbing Cost </w:t>
                  </w:r>
                  <w:proofErr w:type="spellStart"/>
                  <w:r w:rsidRPr="00116AF4">
                    <w:rPr>
                      <w:rFonts w:ascii="Arial" w:eastAsia="Times New Roman" w:hAnsi="Arial" w:cs="Arial"/>
                      <w:szCs w:val="24"/>
                    </w:rPr>
                    <w:t>Centres</w:t>
                  </w:r>
                  <w:proofErr w:type="spellEnd"/>
                  <w:r w:rsidRPr="00116AF4">
                    <w:rPr>
                      <w:rFonts w:ascii="Arial" w:eastAsia="Times New Roman" w:hAnsi="Arial" w:cs="Arial"/>
                      <w:szCs w:val="24"/>
                    </w:rPr>
                    <w:t xml:space="preserve"> (ACCs). </w:t>
                  </w:r>
                  <w:r w:rsidRPr="00116AF4">
                    <w:rPr>
                      <w:rFonts w:ascii="Arial" w:eastAsia="Times New Roman" w:hAnsi="Arial" w:cs="Arial"/>
                      <w:szCs w:val="24"/>
                    </w:rPr>
                    <w:lastRenderedPageBreak/>
                    <w:t xml:space="preserve">The unit cost of each medical service was estimated by a cost-to-charge ratio method. --- Results: The total costs of the Lam Dong General Hospital in the fiscal year 2015 were 4,560,891 USD. The contributions of capital costs, material costs and </w:t>
                  </w:r>
                  <w:proofErr w:type="spellStart"/>
                  <w:r w:rsidRPr="00116AF4">
                    <w:rPr>
                      <w:rFonts w:ascii="Arial" w:eastAsia="Times New Roman" w:hAnsi="Arial" w:cs="Arial"/>
                      <w:szCs w:val="24"/>
                    </w:rPr>
                    <w:t>labour</w:t>
                  </w:r>
                  <w:proofErr w:type="spellEnd"/>
                  <w:r w:rsidRPr="00116AF4">
                    <w:rPr>
                      <w:rFonts w:ascii="Arial" w:eastAsia="Times New Roman" w:hAnsi="Arial" w:cs="Arial"/>
                      <w:szCs w:val="24"/>
                    </w:rPr>
                    <w:t xml:space="preserve"> costs for all cost </w:t>
                  </w:r>
                  <w:proofErr w:type="spellStart"/>
                  <w:r w:rsidRPr="00116AF4">
                    <w:rPr>
                      <w:rFonts w:ascii="Arial" w:eastAsia="Times New Roman" w:hAnsi="Arial" w:cs="Arial"/>
                      <w:szCs w:val="24"/>
                    </w:rPr>
                    <w:t>centres</w:t>
                  </w:r>
                  <w:proofErr w:type="spellEnd"/>
                  <w:r w:rsidRPr="00116AF4">
                    <w:rPr>
                      <w:rFonts w:ascii="Arial" w:eastAsia="Times New Roman" w:hAnsi="Arial" w:cs="Arial"/>
                      <w:szCs w:val="24"/>
                    </w:rPr>
                    <w:t xml:space="preserve"> to the total direct cost were 16.36%, 49.07% and 34.57%, respectively. After allocation, the direct and indirect costs of all ACCs were 3,590,168 USD and 970,723 USD, accounting for 78.72% and 21.28%, respectively. The cost-to-charge ratios of the remaining medical services ranged from 0.36 to 164.68. --- Conclusion: The results of this study can help hospital administrators understand their cost structures and run their facilities more efficiently. The study also provides unit costs for government data and aids in completing the Vietnam standard cost list. This will be helpful for health economic evaluations.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1" w:name="m_2775912902713410657__Toc522026497"/>
                  <w:r w:rsidRPr="00116AF4">
                    <w:rPr>
                      <w:rFonts w:ascii="Calibri" w:eastAsia="Times New Roman" w:hAnsi="Calibri" w:cs="Calibri"/>
                      <w:b/>
                      <w:bCs/>
                      <w:color w:val="800000"/>
                      <w:sz w:val="22"/>
                    </w:rPr>
                    <w:t>The need for improving access to emergency care through community involvement in low- and middle-income countries: A case study of cardiac arrest in Hanoi, Vietnam.</w:t>
                  </w:r>
                  <w:bookmarkEnd w:id="51"/>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Hoang Bui Hai, Dao Xuan Dung, Nakahara Shinji and Sakamoto Tetsuya. Emergency Medicine Australasia,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Out-of-hospital cardiac arrest patients require immediate interventions by bystanders and emergency medical services (EMS). However, in many low- and middle-income countries (LMIC), bystanders witnessing a cardiac arrest rarely perform chest compressions and contact EMS. This paper attempts to draw lessons from a case of a patient with a cardiac arrest who could have survived with immediate interventions. A 40 year old man collapsed following electrocution at a construction site. His colleagues immediately transferred him to hospital via taxi, without performing chest compressions. At the hospital he showed ventricular fibrillation; resuscitation attempts failed and he died. Ventricular fibrillation due to electrocution is a benign type of cardiac arrest. The chance of survival increases with immediate chest compressions and prompt defibrillation. We discuss the reasons why the bystanders did not perform resuscitation or contact EMS and identify approaches for the improvement of pre-hospital care in LMICs.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36"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2" w:name="m_2775912902713410657__Toc522026498"/>
                  <w:r w:rsidRPr="00116AF4">
                    <w:rPr>
                      <w:rFonts w:ascii="Calibri" w:eastAsia="Times New Roman" w:hAnsi="Calibri" w:cs="Calibri"/>
                      <w:b/>
                      <w:bCs/>
                      <w:color w:val="800000"/>
                      <w:sz w:val="22"/>
                    </w:rPr>
                    <w:t>Climate Variability and Dengue Hemorrhagic Fever in Hanoi, Viet Nam, During 2008 to 2015.</w:t>
                  </w:r>
                  <w:bookmarkEnd w:id="52"/>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Tran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Tuyet</w:t>
                  </w:r>
                  <w:proofErr w:type="spellEnd"/>
                  <w:r w:rsidRPr="00116AF4">
                    <w:rPr>
                      <w:rFonts w:ascii="Arial" w:eastAsia="Times New Roman" w:hAnsi="Arial" w:cs="Arial"/>
                      <w:szCs w:val="24"/>
                    </w:rPr>
                    <w:t xml:space="preserve">-Hanh, Nguyen </w:t>
                  </w:r>
                  <w:proofErr w:type="spellStart"/>
                  <w:r w:rsidRPr="00116AF4">
                    <w:rPr>
                      <w:rFonts w:ascii="Arial" w:eastAsia="Times New Roman" w:hAnsi="Arial" w:cs="Arial"/>
                      <w:szCs w:val="24"/>
                    </w:rPr>
                    <w:t>Nhat</w:t>
                  </w:r>
                  <w:proofErr w:type="spellEnd"/>
                  <w:r w:rsidRPr="00116AF4">
                    <w:rPr>
                      <w:rFonts w:ascii="Arial" w:eastAsia="Times New Roman" w:hAnsi="Arial" w:cs="Arial"/>
                      <w:szCs w:val="24"/>
                    </w:rPr>
                    <w:t xml:space="preserve"> Cam, Le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Thanh Huong, Tran </w:t>
                  </w:r>
                  <w:proofErr w:type="spellStart"/>
                  <w:r w:rsidRPr="00116AF4">
                    <w:rPr>
                      <w:rFonts w:ascii="Arial" w:eastAsia="Times New Roman" w:hAnsi="Arial" w:cs="Arial"/>
                      <w:szCs w:val="24"/>
                    </w:rPr>
                    <w:t>Khanh</w:t>
                  </w:r>
                  <w:proofErr w:type="spellEnd"/>
                  <w:r w:rsidRPr="00116AF4">
                    <w:rPr>
                      <w:rFonts w:ascii="Arial" w:eastAsia="Times New Roman" w:hAnsi="Arial" w:cs="Arial"/>
                      <w:szCs w:val="24"/>
                    </w:rPr>
                    <w:t xml:space="preserve"> Long, Tran Mai </w:t>
                  </w:r>
                  <w:proofErr w:type="spellStart"/>
                  <w:r w:rsidRPr="00116AF4">
                    <w:rPr>
                      <w:rFonts w:ascii="Arial" w:eastAsia="Times New Roman" w:hAnsi="Arial" w:cs="Arial"/>
                      <w:szCs w:val="24"/>
                    </w:rPr>
                    <w:t>Kien</w:t>
                  </w:r>
                  <w:proofErr w:type="spellEnd"/>
                  <w:r w:rsidRPr="00116AF4">
                    <w:rPr>
                      <w:rFonts w:ascii="Arial" w:eastAsia="Times New Roman" w:hAnsi="Arial" w:cs="Arial"/>
                      <w:szCs w:val="24"/>
                    </w:rPr>
                    <w:t xml:space="preserve"> and others. Asia Pacific Journal of Public Health,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Dengue fever/dengue hemorrhagic fever (DF/DHF) has been an important public health challenge in Viet Nam and worldwide. This study was implemented in 2016-2017 using retrospective secondary data to explore associations between monthly DF/DHF cases and climate variables during 2008 to 2015. There were 48 175 DF/DHF cases reported, and the highest number of cases occurred in November. There were significant correlations between monthly DF/DHF cases with monthly mean of evaporation (r = 0.236, P &lt; .05), monthly relative humidity (r = −0.358, P &lt; .05), and monthly total hours of sunshine (r = 0.389, P &lt; .05). The results showed significant correlation in lag models but did not find direct correlations between monthly DF/DHF cases and monthly average rainfall and temperature. The study recommended that health staff in Hanoi should monitor DF/DHF cases at the beginning of epidemic period, starting from May, and apply timely prevention and intervention measures to avoid the spreading of the disease in the following months. A larger scale study for a longer period of time and adjusting for other potential influencing factors could better describe the correlations, modelling/projection, and developing an early warning system for the disease, which is important under the impacts of climate change and climate variability.</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3" w:name="m_2775912902713410657__Toc522026499"/>
                  <w:r w:rsidRPr="00116AF4">
                    <w:rPr>
                      <w:rFonts w:ascii="Calibri" w:eastAsia="Times New Roman" w:hAnsi="Calibri" w:cs="Calibri"/>
                      <w:b/>
                      <w:bCs/>
                      <w:color w:val="800000"/>
                      <w:sz w:val="22"/>
                    </w:rPr>
                    <w:t>The Control of Typhoid Fever in Vietnam.</w:t>
                  </w:r>
                  <w:bookmarkEnd w:id="53"/>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Tran Vu </w:t>
                  </w:r>
                  <w:proofErr w:type="spellStart"/>
                  <w:r w:rsidRPr="00116AF4">
                    <w:rPr>
                      <w:rFonts w:ascii="Arial" w:eastAsia="Times New Roman" w:hAnsi="Arial" w:cs="Arial"/>
                      <w:szCs w:val="24"/>
                    </w:rPr>
                    <w:t>Thieu</w:t>
                  </w:r>
                  <w:proofErr w:type="spellEnd"/>
                  <w:r w:rsidRPr="00116AF4">
                    <w:rPr>
                      <w:rFonts w:ascii="Arial" w:eastAsia="Times New Roman" w:hAnsi="Arial" w:cs="Arial"/>
                      <w:szCs w:val="24"/>
                    </w:rPr>
                    <w:t xml:space="preserve"> Nga, Pham Thanh </w:t>
                  </w:r>
                  <w:proofErr w:type="spellStart"/>
                  <w:r w:rsidRPr="00116AF4">
                    <w:rPr>
                      <w:rFonts w:ascii="Arial" w:eastAsia="Times New Roman" w:hAnsi="Arial" w:cs="Arial"/>
                      <w:szCs w:val="24"/>
                    </w:rPr>
                    <w:t>Duy</w:t>
                  </w:r>
                  <w:proofErr w:type="spellEnd"/>
                  <w:r w:rsidRPr="00116AF4">
                    <w:rPr>
                      <w:rFonts w:ascii="Arial" w:eastAsia="Times New Roman" w:hAnsi="Arial" w:cs="Arial"/>
                      <w:szCs w:val="24"/>
                    </w:rPr>
                    <w:t xml:space="preserve">, Nguyen </w:t>
                  </w:r>
                  <w:proofErr w:type="spellStart"/>
                  <w:r w:rsidRPr="00116AF4">
                    <w:rPr>
                      <w:rFonts w:ascii="Arial" w:eastAsia="Times New Roman" w:hAnsi="Arial" w:cs="Arial"/>
                      <w:szCs w:val="24"/>
                    </w:rPr>
                    <w:t>Phu</w:t>
                  </w:r>
                  <w:proofErr w:type="spellEnd"/>
                  <w:r w:rsidRPr="00116AF4">
                    <w:rPr>
                      <w:rFonts w:ascii="Arial" w:eastAsia="Times New Roman" w:hAnsi="Arial" w:cs="Arial"/>
                      <w:szCs w:val="24"/>
                    </w:rPr>
                    <w:t xml:space="preserve"> Huong Lan, Nguyen Van </w:t>
                  </w:r>
                  <w:proofErr w:type="spellStart"/>
                  <w:r w:rsidRPr="00116AF4">
                    <w:rPr>
                      <w:rFonts w:ascii="Arial" w:eastAsia="Times New Roman" w:hAnsi="Arial" w:cs="Arial"/>
                      <w:szCs w:val="24"/>
                    </w:rPr>
                    <w:t>Vinh</w:t>
                  </w:r>
                  <w:proofErr w:type="spellEnd"/>
                  <w:r w:rsidRPr="00116AF4">
                    <w:rPr>
                      <w:rFonts w:ascii="Arial" w:eastAsia="Times New Roman" w:hAnsi="Arial" w:cs="Arial"/>
                      <w:szCs w:val="24"/>
                    </w:rPr>
                    <w:t xml:space="preserve"> Chau and Stephen Baker. Am J Trop Med </w:t>
                  </w:r>
                  <w:proofErr w:type="spellStart"/>
                  <w:r w:rsidRPr="00116AF4">
                    <w:rPr>
                      <w:rFonts w:ascii="Arial" w:eastAsia="Times New Roman" w:hAnsi="Arial" w:cs="Arial"/>
                      <w:szCs w:val="24"/>
                    </w:rPr>
                    <w:t>Hyg</w:t>
                  </w:r>
                  <w:proofErr w:type="spellEnd"/>
                  <w:r w:rsidRPr="00116AF4">
                    <w:rPr>
                      <w:rFonts w:ascii="Arial" w:eastAsia="Times New Roman" w:hAnsi="Arial" w:cs="Arial"/>
                      <w:szCs w:val="24"/>
                    </w:rPr>
                    <w:t xml:space="preserve">, </w:t>
                  </w:r>
                  <w:proofErr w:type="gramStart"/>
                  <w:r w:rsidRPr="00116AF4">
                    <w:rPr>
                      <w:rFonts w:ascii="Arial" w:eastAsia="Times New Roman" w:hAnsi="Arial" w:cs="Arial"/>
                      <w:szCs w:val="24"/>
                    </w:rPr>
                    <w:t>2018.</w:t>
                  </w:r>
                  <w:proofErr w:type="gramEnd"/>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Typhoid fever, caused by Salmonella </w:t>
                  </w:r>
                  <w:proofErr w:type="spellStart"/>
                  <w:r w:rsidRPr="00116AF4">
                    <w:rPr>
                      <w:rFonts w:ascii="Arial" w:eastAsia="Times New Roman" w:hAnsi="Arial" w:cs="Arial"/>
                      <w:szCs w:val="24"/>
                    </w:rPr>
                    <w:t>enterica</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serovar</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Typhi</w:t>
                  </w:r>
                  <w:proofErr w:type="spellEnd"/>
                  <w:r w:rsidRPr="00116AF4">
                    <w:rPr>
                      <w:rFonts w:ascii="Arial" w:eastAsia="Times New Roman" w:hAnsi="Arial" w:cs="Arial"/>
                      <w:szCs w:val="24"/>
                    </w:rPr>
                    <w:t xml:space="preserve"> (S. </w:t>
                  </w:r>
                  <w:proofErr w:type="spellStart"/>
                  <w:r w:rsidRPr="00116AF4">
                    <w:rPr>
                      <w:rFonts w:ascii="Arial" w:eastAsia="Times New Roman" w:hAnsi="Arial" w:cs="Arial"/>
                      <w:szCs w:val="24"/>
                    </w:rPr>
                    <w:t>Typhi</w:t>
                  </w:r>
                  <w:proofErr w:type="spellEnd"/>
                  <w:r w:rsidRPr="00116AF4">
                    <w:rPr>
                      <w:rFonts w:ascii="Arial" w:eastAsia="Times New Roman" w:hAnsi="Arial" w:cs="Arial"/>
                      <w:szCs w:val="24"/>
                    </w:rPr>
                    <w:t xml:space="preserve">), is a diminishing public health problem in Vietnam, and this process may represent a prototype for typhoid elimination in Asia. Here, we review typhoid epidemiology in Vietnam over 20 years and assess the potential drivers associated with typhoid reduction. In the 1990s, multidrug resistant S. </w:t>
                  </w:r>
                  <w:proofErr w:type="spellStart"/>
                  <w:r w:rsidRPr="00116AF4">
                    <w:rPr>
                      <w:rFonts w:ascii="Arial" w:eastAsia="Times New Roman" w:hAnsi="Arial" w:cs="Arial"/>
                      <w:szCs w:val="24"/>
                    </w:rPr>
                    <w:t>Typhi</w:t>
                  </w:r>
                  <w:proofErr w:type="spellEnd"/>
                  <w:r w:rsidRPr="00116AF4">
                    <w:rPr>
                      <w:rFonts w:ascii="Arial" w:eastAsia="Times New Roman" w:hAnsi="Arial" w:cs="Arial"/>
                      <w:szCs w:val="24"/>
                    </w:rPr>
                    <w:t xml:space="preserve"> </w:t>
                  </w:r>
                  <w:proofErr w:type="gramStart"/>
                  <w:r w:rsidRPr="00116AF4">
                    <w:rPr>
                      <w:rFonts w:ascii="Arial" w:eastAsia="Times New Roman" w:hAnsi="Arial" w:cs="Arial"/>
                      <w:szCs w:val="24"/>
                    </w:rPr>
                    <w:t>were</w:t>
                  </w:r>
                  <w:proofErr w:type="gramEnd"/>
                  <w:r w:rsidRPr="00116AF4">
                    <w:rPr>
                      <w:rFonts w:ascii="Arial" w:eastAsia="Times New Roman" w:hAnsi="Arial" w:cs="Arial"/>
                      <w:szCs w:val="24"/>
                    </w:rPr>
                    <w:t xml:space="preserve"> highly prevalent in a sentinel hospital in southern Vietnam. A national typhoid incidence rate of 14.7/100,000 population per year was estimated around the new millennium. The Vietnamese government recognized the public health issue of typhoid in the 1990s and initiated vaccine campaigns to protect the most vulnerable members of the population. At their peak, these campaigns immunized approximately 1,200,000 children in 35 provinces. Concurrently, Vietnam experienced unprecedented economic development from 1998 to 2014, with the gross national income per capita increasing from $360 to $1,890 over this period. More recent typhoid incidence data are not available, but surveillance suggests that the current disease burden is negligible. This trajectory can be considered a major public health success. However, a paucity of systematic data makes it difficult to disaggregate the roles of </w:t>
                  </w:r>
                  <w:r w:rsidRPr="00116AF4">
                    <w:rPr>
                      <w:rFonts w:ascii="Arial" w:eastAsia="Times New Roman" w:hAnsi="Arial" w:cs="Arial"/>
                      <w:szCs w:val="24"/>
                    </w:rPr>
                    <w:lastRenderedPageBreak/>
                    <w:t>immunization and water, sanitation, and hygiene (WASH) interventions in typhoid reduction in Vietnam. Given the limitations of typhoid vaccines, we surmise the practical elimination of typhoid was largely driven by economic development and improvement in general population living standards. Better designed WASH intervention studies with clinical endpoints and systematic incidence data are essential to glean a greater understanding of contextual factors that impact typhoid incidence reduction.</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37"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4" w:name="m_2775912902713410657__Toc522026500"/>
                  <w:r w:rsidRPr="00116AF4">
                    <w:rPr>
                      <w:rFonts w:ascii="Calibri" w:eastAsia="Times New Roman" w:hAnsi="Calibri" w:cs="Calibri"/>
                      <w:b/>
                      <w:bCs/>
                      <w:color w:val="800000"/>
                      <w:sz w:val="22"/>
                    </w:rPr>
                    <w:t xml:space="preserve">Human and Simian Malaria in the Greater Mekong </w:t>
                  </w:r>
                  <w:proofErr w:type="spellStart"/>
                  <w:r w:rsidRPr="00116AF4">
                    <w:rPr>
                      <w:rFonts w:ascii="Calibri" w:eastAsia="Times New Roman" w:hAnsi="Calibri" w:cs="Calibri"/>
                      <w:b/>
                      <w:bCs/>
                      <w:color w:val="800000"/>
                      <w:sz w:val="22"/>
                    </w:rPr>
                    <w:t>Subregion</w:t>
                  </w:r>
                  <w:proofErr w:type="spellEnd"/>
                  <w:r w:rsidRPr="00116AF4">
                    <w:rPr>
                      <w:rFonts w:ascii="Calibri" w:eastAsia="Times New Roman" w:hAnsi="Calibri" w:cs="Calibri"/>
                      <w:b/>
                      <w:bCs/>
                      <w:color w:val="800000"/>
                      <w:sz w:val="22"/>
                    </w:rPr>
                    <w:t xml:space="preserve"> and Challenges for Elimination.</w:t>
                  </w:r>
                  <w:bookmarkEnd w:id="54"/>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Jeffrey </w:t>
                  </w:r>
                  <w:proofErr w:type="spellStart"/>
                  <w:r w:rsidRPr="00116AF4">
                    <w:rPr>
                      <w:rFonts w:ascii="Arial" w:eastAsia="Times New Roman" w:hAnsi="Arial" w:cs="Arial"/>
                      <w:szCs w:val="24"/>
                    </w:rPr>
                    <w:t>Hii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Indra</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Vythilingam</w:t>
                  </w:r>
                  <w:proofErr w:type="spellEnd"/>
                  <w:r w:rsidRPr="00116AF4">
                    <w:rPr>
                      <w:rFonts w:ascii="Arial" w:eastAsia="Times New Roman" w:hAnsi="Arial" w:cs="Arial"/>
                      <w:szCs w:val="24"/>
                    </w:rPr>
                    <w:t xml:space="preserve"> and </w:t>
                  </w:r>
                  <w:proofErr w:type="spellStart"/>
                  <w:r w:rsidRPr="00116AF4">
                    <w:rPr>
                      <w:rFonts w:ascii="Arial" w:eastAsia="Times New Roman" w:hAnsi="Arial" w:cs="Arial"/>
                      <w:szCs w:val="24"/>
                    </w:rPr>
                    <w:t>Arantxa</w:t>
                  </w:r>
                  <w:proofErr w:type="spellEnd"/>
                  <w:r w:rsidRPr="00116AF4">
                    <w:rPr>
                      <w:rFonts w:ascii="Arial" w:eastAsia="Times New Roman" w:hAnsi="Arial" w:cs="Arial"/>
                      <w:szCs w:val="24"/>
                    </w:rPr>
                    <w:t xml:space="preserve"> Roca-</w:t>
                  </w:r>
                  <w:proofErr w:type="spellStart"/>
                  <w:r w:rsidRPr="00116AF4">
                    <w:rPr>
                      <w:rFonts w:ascii="Arial" w:eastAsia="Times New Roman" w:hAnsi="Arial" w:cs="Arial"/>
                      <w:szCs w:val="24"/>
                    </w:rPr>
                    <w:t>Feltrer</w:t>
                  </w:r>
                  <w:proofErr w:type="spellEnd"/>
                  <w:r w:rsidRPr="00116AF4">
                    <w:rPr>
                      <w:rFonts w:ascii="Arial" w:eastAsia="Times New Roman" w:hAnsi="Arial" w:cs="Arial"/>
                      <w:szCs w:val="24"/>
                    </w:rPr>
                    <w:t xml:space="preserve">. </w:t>
                  </w:r>
                  <w:proofErr w:type="gramStart"/>
                  <w:r w:rsidRPr="00116AF4">
                    <w:rPr>
                      <w:rFonts w:ascii="Arial" w:eastAsia="Times New Roman" w:hAnsi="Arial" w:cs="Arial"/>
                      <w:szCs w:val="24"/>
                    </w:rPr>
                    <w:t>in</w:t>
                  </w:r>
                  <w:proofErr w:type="gramEnd"/>
                  <w:r w:rsidRPr="00116AF4">
                    <w:rPr>
                      <w:rFonts w:ascii="Arial" w:eastAsia="Times New Roman" w:hAnsi="Arial" w:cs="Arial"/>
                      <w:szCs w:val="24"/>
                    </w:rPr>
                    <w:t>: Towards Malaria Elimination: A Leap Forward,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38" w:tgtFrame="_blank" w:history="1">
                    <w:r w:rsidRPr="00116AF4">
                      <w:rPr>
                        <w:rFonts w:ascii="Arial" w:eastAsia="Times New Roman" w:hAnsi="Arial" w:cs="Arial"/>
                        <w:color w:val="1155CC"/>
                        <w:szCs w:val="24"/>
                        <w:u w:val="single"/>
                      </w:rPr>
                      <w:t>https://cdn.intechopen.com/pdfs/61329.pdf</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 recent years malaria initiatives have increasingly shifted from malaria control to a focus on achieving malaria elimination in the Southeast Asia region. However, this region experiences unique challenges in this transition due to its distinctive malaria ecosystem (mainly related to forests) and high volume of population movement (both within and between countries). </w:t>
                  </w:r>
                  <w:proofErr w:type="gramStart"/>
                  <w:r w:rsidRPr="00116AF4">
                    <w:rPr>
                      <w:rFonts w:ascii="Arial" w:eastAsia="Times New Roman" w:hAnsi="Arial" w:cs="Arial"/>
                      <w:szCs w:val="24"/>
                    </w:rPr>
                    <w:t>These bioenvironmental factors increase the exposure of populations at higher risk due to their close association with forest, and contributes</w:t>
                  </w:r>
                  <w:proofErr w:type="gramEnd"/>
                  <w:r w:rsidRPr="00116AF4">
                    <w:rPr>
                      <w:rFonts w:ascii="Arial" w:eastAsia="Times New Roman" w:hAnsi="Arial" w:cs="Arial"/>
                      <w:szCs w:val="24"/>
                    </w:rPr>
                    <w:t xml:space="preserve"> to outdoor and residual transmission. Given that this region has also historically been the source of resistance to anti-malarial drugs, the potential spread of artemisinin resistance via global transportation routes would pose a major threat to malaria control and elimination efforts worldwide. In addition, other factors also hinder the malaria elimination goal such as importation of parasite infection, uncontrolled monkey malaria (Plasmodium </w:t>
                  </w:r>
                  <w:proofErr w:type="spellStart"/>
                  <w:r w:rsidRPr="00116AF4">
                    <w:rPr>
                      <w:rFonts w:ascii="Arial" w:eastAsia="Times New Roman" w:hAnsi="Arial" w:cs="Arial"/>
                      <w:szCs w:val="24"/>
                    </w:rPr>
                    <w:t>knowlesi</w:t>
                  </w:r>
                  <w:proofErr w:type="spellEnd"/>
                  <w:r w:rsidRPr="00116AF4">
                    <w:rPr>
                      <w:rFonts w:ascii="Arial" w:eastAsia="Times New Roman" w:hAnsi="Arial" w:cs="Arial"/>
                      <w:szCs w:val="24"/>
                    </w:rPr>
                    <w:t xml:space="preserve">), or the fact that many countries in this region experience mixed infections where P. vivax becomes a more predominant species as overall malaria transmission decreases. </w:t>
                  </w:r>
                  <w:proofErr w:type="gramStart"/>
                  <w:r w:rsidRPr="00116AF4">
                    <w:rPr>
                      <w:rFonts w:ascii="Arial" w:eastAsia="Times New Roman" w:hAnsi="Arial" w:cs="Arial"/>
                      <w:szCs w:val="24"/>
                    </w:rPr>
                    <w:t>This chapter addresses these challenges in detail and provide</w:t>
                  </w:r>
                  <w:proofErr w:type="gramEnd"/>
                  <w:r w:rsidRPr="00116AF4">
                    <w:rPr>
                      <w:rFonts w:ascii="Arial" w:eastAsia="Times New Roman" w:hAnsi="Arial" w:cs="Arial"/>
                      <w:szCs w:val="24"/>
                    </w:rPr>
                    <w:t xml:space="preserve"> recommendations and key priorities to overcome these obstacles to accelerate efforts for achieving malaria elimination.</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5" w:name="m_2775912902713410657__Toc522026501"/>
                  <w:r w:rsidRPr="00116AF4">
                    <w:rPr>
                      <w:rFonts w:ascii="Calibri" w:eastAsia="Times New Roman" w:hAnsi="Calibri" w:cs="Calibri"/>
                      <w:b/>
                      <w:bCs/>
                      <w:color w:val="800000"/>
                      <w:sz w:val="22"/>
                    </w:rPr>
                    <w:t>An investigation of an outbreak of diphtheria in adolescents and adults in southern Vietnam.</w:t>
                  </w:r>
                  <w:bookmarkEnd w:id="55"/>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L. T. Phan, Q. Pham, H. C. Phan, T. V. Nguyen, T. V. Phan and others. International Journal of Infectious Diseases, 2018, volume 73, p. 90.</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Free full text </w:t>
                  </w:r>
                  <w:hyperlink r:id="rId39" w:tgtFrame="_blank" w:history="1">
                    <w:r w:rsidRPr="00116AF4">
                      <w:rPr>
                        <w:rFonts w:ascii="Arial" w:eastAsia="Times New Roman" w:hAnsi="Arial" w:cs="Arial"/>
                        <w:color w:val="1155CC"/>
                        <w:szCs w:val="24"/>
                        <w:u w:val="single"/>
                      </w:rPr>
                      <w:t>https://doi.org/10.1016/j.ijid.2018.04.3628</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Background: Diphtheria became rare in Vietnam following implementation of the Expanded Program on Immunization in 1981. In the late-June, 2016, two previously healthy young persons from remote areas of </w:t>
                  </w:r>
                  <w:proofErr w:type="spellStart"/>
                  <w:r w:rsidRPr="00116AF4">
                    <w:rPr>
                      <w:rFonts w:ascii="Arial" w:eastAsia="Times New Roman" w:hAnsi="Arial" w:cs="Arial"/>
                      <w:szCs w:val="24"/>
                    </w:rPr>
                    <w:t>Binh</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Phuoc</w:t>
                  </w:r>
                  <w:proofErr w:type="spellEnd"/>
                  <w:r w:rsidRPr="00116AF4">
                    <w:rPr>
                      <w:rFonts w:ascii="Arial" w:eastAsia="Times New Roman" w:hAnsi="Arial" w:cs="Arial"/>
                      <w:szCs w:val="24"/>
                    </w:rPr>
                    <w:t xml:space="preserve"> province, southern Vietnam, were hospitalized and died of suspected diphtheria. Here, we report the epidemiological, clinical, and microbiological investigation of this outbreak. --- Methods &amp; Materials: We identified probable and confirmed cases at hospitals or through active community-based case finding. A probable case was defined as a local resident who exhibited (</w:t>
                  </w:r>
                  <w:proofErr w:type="spellStart"/>
                  <w:r w:rsidRPr="00116AF4">
                    <w:rPr>
                      <w:rFonts w:ascii="Arial" w:eastAsia="Times New Roman" w:hAnsi="Arial" w:cs="Arial"/>
                      <w:szCs w:val="24"/>
                    </w:rPr>
                    <w:t>i</w:t>
                  </w:r>
                  <w:proofErr w:type="spellEnd"/>
                  <w:r w:rsidRPr="00116AF4">
                    <w:rPr>
                      <w:rFonts w:ascii="Arial" w:eastAsia="Times New Roman" w:hAnsi="Arial" w:cs="Arial"/>
                      <w:szCs w:val="24"/>
                    </w:rPr>
                    <w:t xml:space="preserve">) fever with a sore throat or tonsillitis with an adherent membrane or (ii) cardiac or neurological complications following upper respiratory tract symptoms. Laboratory confirmation required isolation of Corynebacterium </w:t>
                  </w:r>
                  <w:proofErr w:type="spellStart"/>
                  <w:r w:rsidRPr="00116AF4">
                    <w:rPr>
                      <w:rFonts w:ascii="Arial" w:eastAsia="Times New Roman" w:hAnsi="Arial" w:cs="Arial"/>
                      <w:szCs w:val="24"/>
                    </w:rPr>
                    <w:t>diphtheriae</w:t>
                  </w:r>
                  <w:proofErr w:type="spellEnd"/>
                  <w:r w:rsidRPr="00116AF4">
                    <w:rPr>
                      <w:rFonts w:ascii="Arial" w:eastAsia="Times New Roman" w:hAnsi="Arial" w:cs="Arial"/>
                      <w:szCs w:val="24"/>
                    </w:rPr>
                    <w:t xml:space="preserve"> by throat swab culture. We reviewed patient charts, interviewed patients and their household contacts, and performed contact tracing. C. </w:t>
                  </w:r>
                  <w:proofErr w:type="spellStart"/>
                  <w:r w:rsidRPr="00116AF4">
                    <w:rPr>
                      <w:rFonts w:ascii="Arial" w:eastAsia="Times New Roman" w:hAnsi="Arial" w:cs="Arial"/>
                      <w:szCs w:val="24"/>
                    </w:rPr>
                    <w:t>diphtheriae</w:t>
                  </w:r>
                  <w:proofErr w:type="spellEnd"/>
                  <w:r w:rsidRPr="00116AF4">
                    <w:rPr>
                      <w:rFonts w:ascii="Arial" w:eastAsia="Times New Roman" w:hAnsi="Arial" w:cs="Arial"/>
                      <w:szCs w:val="24"/>
                    </w:rPr>
                    <w:t xml:space="preserve"> isolates were tested for antibiotic susceptibilities by disk diffusion and for the presence of diphtheria toxin by polymerase chain reaction and sequencing. --- Results: Five confirmed and seven probable cases were detected during June 25th-July 20th, 2016. Of the 12 cases, nine were ≥15 years old (range of 3-36 years); seven were males; none completed the DPT3 immunization series; almost all (10 cases) were household contacts, neighbors, friends or co-workers of each other. Pseudo-membranes, myocarditis, and palatal paralysis were seen in three, eight, and two cases, respectively. Two confirmed and two probable cases reported antibiotic use prior to throat swab culture. Three probable cases died due to myocarditis, yielding an overall case fatality rate of 25% (3/12). One of 35 patient's contacts was culture-positive. All six isolates were identified as toxigenic C. </w:t>
                  </w:r>
                  <w:proofErr w:type="spellStart"/>
                  <w:r w:rsidRPr="00116AF4">
                    <w:rPr>
                      <w:rFonts w:ascii="Arial" w:eastAsia="Times New Roman" w:hAnsi="Arial" w:cs="Arial"/>
                      <w:szCs w:val="24"/>
                    </w:rPr>
                    <w:t>diphtheriae</w:t>
                  </w:r>
                  <w:proofErr w:type="spellEnd"/>
                  <w:r w:rsidRPr="00116AF4">
                    <w:rPr>
                      <w:rFonts w:ascii="Arial" w:eastAsia="Times New Roman" w:hAnsi="Arial" w:cs="Arial"/>
                      <w:szCs w:val="24"/>
                    </w:rPr>
                    <w:t xml:space="preserve"> biotype mitis, and all were susceptible to erythromycin. No evidence of C. </w:t>
                  </w:r>
                  <w:proofErr w:type="spellStart"/>
                  <w:r w:rsidRPr="00116AF4">
                    <w:rPr>
                      <w:rFonts w:ascii="Arial" w:eastAsia="Times New Roman" w:hAnsi="Arial" w:cs="Arial"/>
                      <w:szCs w:val="24"/>
                    </w:rPr>
                    <w:t>diphtheriae</w:t>
                  </w:r>
                  <w:proofErr w:type="spellEnd"/>
                  <w:r w:rsidRPr="00116AF4">
                    <w:rPr>
                      <w:rFonts w:ascii="Arial" w:eastAsia="Times New Roman" w:hAnsi="Arial" w:cs="Arial"/>
                      <w:szCs w:val="24"/>
                    </w:rPr>
                    <w:t xml:space="preserve"> was identified from 52 local residents with upper respiratory tract symptoms and epidemiologic links to confirmed or probable cases. --- Conclusion: We identified an outbreak of diphtheria among an unvaccinated population of adolescents and adults in a remote province of southern Vietnam. Efforts to improve vaccination coverage and administer a booster dose of diphtheria-containing vaccines are needed to prevent future outbreaks.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40"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6" w:name="m_2775912902713410657__Toc522026502"/>
                  <w:r w:rsidRPr="00116AF4">
                    <w:rPr>
                      <w:rFonts w:ascii="Calibri" w:eastAsia="Times New Roman" w:hAnsi="Calibri" w:cs="Calibri"/>
                      <w:b/>
                      <w:bCs/>
                      <w:color w:val="800000"/>
                      <w:sz w:val="22"/>
                    </w:rPr>
                    <w:t xml:space="preserve">Malaria Elimination in the Greater Mekong </w:t>
                  </w:r>
                  <w:proofErr w:type="spellStart"/>
                  <w:r w:rsidRPr="00116AF4">
                    <w:rPr>
                      <w:rFonts w:ascii="Calibri" w:eastAsia="Times New Roman" w:hAnsi="Calibri" w:cs="Calibri"/>
                      <w:b/>
                      <w:bCs/>
                      <w:color w:val="800000"/>
                      <w:sz w:val="22"/>
                    </w:rPr>
                    <w:t>Subregion</w:t>
                  </w:r>
                  <w:proofErr w:type="spellEnd"/>
                  <w:r w:rsidRPr="00116AF4">
                    <w:rPr>
                      <w:rFonts w:ascii="Calibri" w:eastAsia="Times New Roman" w:hAnsi="Calibri" w:cs="Calibri"/>
                      <w:b/>
                      <w:bCs/>
                      <w:color w:val="800000"/>
                      <w:sz w:val="22"/>
                    </w:rPr>
                    <w:t>: Challenges and Prospects.</w:t>
                  </w:r>
                  <w:bookmarkEnd w:id="56"/>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Liwang</w:t>
                  </w:r>
                  <w:proofErr w:type="spellEnd"/>
                  <w:r w:rsidRPr="00116AF4">
                    <w:rPr>
                      <w:rFonts w:ascii="Arial" w:eastAsia="Times New Roman" w:hAnsi="Arial" w:cs="Arial"/>
                      <w:szCs w:val="24"/>
                    </w:rPr>
                    <w:t xml:space="preserve"> Cui, </w:t>
                  </w:r>
                  <w:proofErr w:type="spellStart"/>
                  <w:r w:rsidRPr="00116AF4">
                    <w:rPr>
                      <w:rFonts w:ascii="Arial" w:eastAsia="Times New Roman" w:hAnsi="Arial" w:cs="Arial"/>
                      <w:szCs w:val="24"/>
                    </w:rPr>
                    <w:t>Yaming</w:t>
                  </w:r>
                  <w:proofErr w:type="spellEnd"/>
                  <w:r w:rsidRPr="00116AF4">
                    <w:rPr>
                      <w:rFonts w:ascii="Arial" w:eastAsia="Times New Roman" w:hAnsi="Arial" w:cs="Arial"/>
                      <w:szCs w:val="24"/>
                    </w:rPr>
                    <w:t xml:space="preserve"> Cao, </w:t>
                  </w:r>
                  <w:proofErr w:type="spellStart"/>
                  <w:r w:rsidRPr="00116AF4">
                    <w:rPr>
                      <w:rFonts w:ascii="Arial" w:eastAsia="Times New Roman" w:hAnsi="Arial" w:cs="Arial"/>
                      <w:szCs w:val="24"/>
                    </w:rPr>
                    <w:t>Jaranit</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Kaewkungwal</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Amnat</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Khamsiriwatchara</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Saranath</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Lawpoolsri</w:t>
                  </w:r>
                  <w:proofErr w:type="spellEnd"/>
                  <w:r w:rsidRPr="00116AF4">
                    <w:rPr>
                      <w:rFonts w:ascii="Arial" w:eastAsia="Times New Roman" w:hAnsi="Arial" w:cs="Arial"/>
                      <w:szCs w:val="24"/>
                    </w:rPr>
                    <w:t xml:space="preserve"> and others. </w:t>
                  </w:r>
                  <w:proofErr w:type="gramStart"/>
                  <w:r w:rsidRPr="00116AF4">
                    <w:rPr>
                      <w:rFonts w:ascii="Arial" w:eastAsia="Times New Roman" w:hAnsi="Arial" w:cs="Arial"/>
                      <w:szCs w:val="24"/>
                    </w:rPr>
                    <w:t>in</w:t>
                  </w:r>
                  <w:proofErr w:type="gramEnd"/>
                  <w:r w:rsidRPr="00116AF4">
                    <w:rPr>
                      <w:rFonts w:ascii="Arial" w:eastAsia="Times New Roman" w:hAnsi="Arial" w:cs="Arial"/>
                      <w:szCs w:val="24"/>
                    </w:rPr>
                    <w:t>: Towards Malaria Elimination: A Leap Forward,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Free full text </w:t>
                  </w:r>
                  <w:hyperlink r:id="rId41" w:tgtFrame="_blank" w:history="1">
                    <w:r w:rsidRPr="00116AF4">
                      <w:rPr>
                        <w:rFonts w:ascii="Arial" w:eastAsia="Times New Roman" w:hAnsi="Arial" w:cs="Arial"/>
                        <w:color w:val="1155CC"/>
                        <w:szCs w:val="24"/>
                        <w:u w:val="single"/>
                      </w:rPr>
                      <w:t>https://cdn.intechopen.com/pdfs/60966.pdf</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Malaria is a significant public health problem and impediment to socioeconomic development in countries of the Greater Mekong </w:t>
                  </w:r>
                  <w:proofErr w:type="spellStart"/>
                  <w:r w:rsidRPr="00116AF4">
                    <w:rPr>
                      <w:rFonts w:ascii="Arial" w:eastAsia="Times New Roman" w:hAnsi="Arial" w:cs="Arial"/>
                      <w:szCs w:val="24"/>
                    </w:rPr>
                    <w:t>Subregion</w:t>
                  </w:r>
                  <w:proofErr w:type="spellEnd"/>
                  <w:r w:rsidRPr="00116AF4">
                    <w:rPr>
                      <w:rFonts w:ascii="Arial" w:eastAsia="Times New Roman" w:hAnsi="Arial" w:cs="Arial"/>
                      <w:szCs w:val="24"/>
                    </w:rPr>
                    <w:t xml:space="preserve"> (GMS), which comprises Cambodia, China’s Yunnan Province, Lao People’s Democratic Republic, Myanmar, Thailand, and Vietnam. Over the past decade, intensified malaria control has greatly reduced the regional malaria burden. Driven by increasing political commitment, motivated by recent achievements in malaria control, and urged by the imminent threat of emerging artemisinin resistance, the GMS countries have endorsed a regional malaria elimination plan with a goal of eliminating malaria by 2030. However, this ambitious, but laudable, goal faces a daunting array of challenges and requires integrated strategies tailored to the region, which should be based on a mechanistic understanding of the human, parasite, and vector factors sustaining continued malaria transmission along international borders. Malaria epidemiology in the GMS is complex and rapidly evolving. Spatial heterogeneity requires targeted use of the limited resources. Border malaria accounts for continued malaria transmission and represents sources of parasite introduction through porous borders by highly mobile human populations. Asymptomatic infections constitute huge parasite reservoir requiring interventions in time and place to pave the way for malaria elimination. Of the two most predominant malaria parasites, Plasmodium falciparum and P. vivax, the prevalence of the latter is increasing in most member GMS countries. This parasite requires the use of 8-aminoquinoline drugs to prevent relapses from liver </w:t>
                  </w:r>
                  <w:proofErr w:type="spellStart"/>
                  <w:r w:rsidRPr="00116AF4">
                    <w:rPr>
                      <w:rFonts w:ascii="Arial" w:eastAsia="Times New Roman" w:hAnsi="Arial" w:cs="Arial"/>
                      <w:szCs w:val="24"/>
                    </w:rPr>
                    <w:t>hypnozoites</w:t>
                  </w:r>
                  <w:proofErr w:type="spellEnd"/>
                  <w:r w:rsidRPr="00116AF4">
                    <w:rPr>
                      <w:rFonts w:ascii="Arial" w:eastAsia="Times New Roman" w:hAnsi="Arial" w:cs="Arial"/>
                      <w:szCs w:val="24"/>
                    </w:rPr>
                    <w:t xml:space="preserve">, but high prevalence of glucose-6-phosphate dehydrogenase deficiency in the endemic human populations makes it difficult to adopt this treatment regimen. The recent emergence of resistance to </w:t>
                  </w:r>
                  <w:proofErr w:type="spellStart"/>
                  <w:r w:rsidRPr="00116AF4">
                    <w:rPr>
                      <w:rFonts w:ascii="Arial" w:eastAsia="Times New Roman" w:hAnsi="Arial" w:cs="Arial"/>
                      <w:szCs w:val="24"/>
                    </w:rPr>
                    <w:t>artemisinins</w:t>
                  </w:r>
                  <w:proofErr w:type="spellEnd"/>
                  <w:r w:rsidRPr="00116AF4">
                    <w:rPr>
                      <w:rFonts w:ascii="Arial" w:eastAsia="Times New Roman" w:hAnsi="Arial" w:cs="Arial"/>
                      <w:szCs w:val="24"/>
                    </w:rPr>
                    <w:t xml:space="preserve"> and partner drugs in P. falciparum has raised both regional and global concerns, and elimination efforts are invariably prioritized against this parasite to avert spread. Moreover, the effectiveness of the two core vector control interventions—insecticide-treated nets and indoor residual spraying—has been declining due to insecticide resistance and increased outdoor biting activity of mosquito vectors. These technical challenges, though varying from country to country, require integrated approaches and better understanding of the malaria epidemiology enabling targeted control of the parasites and vectors. Understanding the mechanism and distribution of drug-resistant parasites will allow effective drug treatment and prevent, or slow down, the spread of drug resistance. Coordination among the GMS countries is essential to prevent parasite reintroduction across the international borders to achieve regional malaria elimination.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7" w:name="m_2775912902713410657__Toc522026503"/>
                  <w:r w:rsidRPr="00116AF4">
                    <w:rPr>
                      <w:rFonts w:ascii="Calibri" w:eastAsia="Times New Roman" w:hAnsi="Calibri" w:cs="Calibri"/>
                      <w:b/>
                      <w:bCs/>
                      <w:color w:val="800000"/>
                      <w:sz w:val="22"/>
                    </w:rPr>
                    <w:t xml:space="preserve">A Potential Way to Decrease the Know-Do Gap in Hospital Infection Control in Vietnam: "Providing Specific Figures on Healthcare-Associated Infections to the Hospital Staff Can 'Wake </w:t>
                  </w:r>
                  <w:r w:rsidRPr="00116AF4">
                    <w:rPr>
                      <w:rFonts w:ascii="Calibri" w:eastAsia="Times New Roman" w:hAnsi="Calibri" w:cs="Calibri"/>
                      <w:b/>
                      <w:bCs/>
                      <w:color w:val="800000"/>
                      <w:sz w:val="22"/>
                    </w:rPr>
                    <w:lastRenderedPageBreak/>
                    <w:t xml:space="preserve">Them Up' to Change Their </w:t>
                  </w:r>
                  <w:proofErr w:type="spellStart"/>
                  <w:r w:rsidRPr="00116AF4">
                    <w:rPr>
                      <w:rFonts w:ascii="Calibri" w:eastAsia="Times New Roman" w:hAnsi="Calibri" w:cs="Calibri"/>
                      <w:b/>
                      <w:bCs/>
                      <w:color w:val="800000"/>
                      <w:sz w:val="22"/>
                    </w:rPr>
                    <w:t>Behaviour</w:t>
                  </w:r>
                  <w:proofErr w:type="spellEnd"/>
                  <w:r w:rsidRPr="00116AF4">
                    <w:rPr>
                      <w:rFonts w:ascii="Calibri" w:eastAsia="Times New Roman" w:hAnsi="Calibri" w:cs="Calibri"/>
                      <w:b/>
                      <w:bCs/>
                      <w:color w:val="800000"/>
                      <w:sz w:val="22"/>
                    </w:rPr>
                    <w:t>".</w:t>
                  </w:r>
                  <w:bookmarkEnd w:id="57"/>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La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Quynh</w:t>
                  </w:r>
                  <w:proofErr w:type="spellEnd"/>
                  <w:r w:rsidRPr="00116AF4">
                    <w:rPr>
                      <w:rFonts w:ascii="Arial" w:eastAsia="Times New Roman" w:hAnsi="Arial" w:cs="Arial"/>
                      <w:szCs w:val="24"/>
                    </w:rPr>
                    <w:t xml:space="preserve"> Lien, Eva Johansson, Pham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Lan, Nguyen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Kim </w:t>
                  </w:r>
                  <w:proofErr w:type="spellStart"/>
                  <w:r w:rsidRPr="00116AF4">
                    <w:rPr>
                      <w:rFonts w:ascii="Arial" w:eastAsia="Times New Roman" w:hAnsi="Arial" w:cs="Arial"/>
                      <w:szCs w:val="24"/>
                    </w:rPr>
                    <w:t>Chuc</w:t>
                  </w:r>
                  <w:proofErr w:type="spellEnd"/>
                  <w:r w:rsidRPr="00116AF4">
                    <w:rPr>
                      <w:rFonts w:ascii="Arial" w:eastAsia="Times New Roman" w:hAnsi="Arial" w:cs="Arial"/>
                      <w:szCs w:val="24"/>
                    </w:rPr>
                    <w:t xml:space="preserve">, Nguyen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Minh </w:t>
                  </w:r>
                  <w:proofErr w:type="spellStart"/>
                  <w:r w:rsidRPr="00116AF4">
                    <w:rPr>
                      <w:rFonts w:ascii="Arial" w:eastAsia="Times New Roman" w:hAnsi="Arial" w:cs="Arial"/>
                      <w:szCs w:val="24"/>
                    </w:rPr>
                    <w:t>Thoa</w:t>
                  </w:r>
                  <w:proofErr w:type="spellEnd"/>
                  <w:r w:rsidRPr="00116AF4">
                    <w:rPr>
                      <w:rFonts w:ascii="Arial" w:eastAsia="Times New Roman" w:hAnsi="Arial" w:cs="Arial"/>
                      <w:szCs w:val="24"/>
                    </w:rPr>
                    <w:t xml:space="preserve"> and others. International journal of environmental research and public health, 2018, volume 15, number 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Adequate infection control plays a key role in preventing healthcare-associated infections (HAIs). This study aimed to explore staff perceptions of hospital infection control in a rural and an urban hospital in Vietnam. Individual interviews were conducted with hospital managers, and focus group discussions were conducted with doctors, nurses and cleaning workers separately. Content analysis was applied. An interview guide including discussion points on HAIs, hand hygiene and healthcare waste management was used. Generally, the </w:t>
                  </w:r>
                  <w:proofErr w:type="gramStart"/>
                  <w:r w:rsidRPr="00116AF4">
                    <w:rPr>
                      <w:rFonts w:ascii="Arial" w:eastAsia="Times New Roman" w:hAnsi="Arial" w:cs="Arial"/>
                      <w:szCs w:val="24"/>
                    </w:rPr>
                    <w:t>staff were</w:t>
                  </w:r>
                  <w:proofErr w:type="gramEnd"/>
                  <w:r w:rsidRPr="00116AF4">
                    <w:rPr>
                      <w:rFonts w:ascii="Arial" w:eastAsia="Times New Roman" w:hAnsi="Arial" w:cs="Arial"/>
                      <w:szCs w:val="24"/>
                    </w:rPr>
                    <w:t xml:space="preserve"> knowledgeable of hospital infection control, but they were not aware of the situation in their own hospital, and infection control practices in the hospitals remained poor. Reported difficulties in infection control included lack of resources, poor awareness and patient overload. A main theme emerged: 'Making data on HAIs available for health workers can improve their awareness and motivate them to put their existing knowledge into practice, thus decreasing the know-do gap in infection control'. This could be a feasible intervention to improve infection control practice in the hospitals with limited resources, high workload and patient overload.</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42"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8" w:name="m_2775912902713410657__Toc522026504"/>
                  <w:r w:rsidRPr="00116AF4">
                    <w:rPr>
                      <w:rFonts w:ascii="Calibri" w:eastAsia="Times New Roman" w:hAnsi="Calibri" w:cs="Calibri"/>
                      <w:b/>
                      <w:bCs/>
                      <w:color w:val="800000"/>
                      <w:sz w:val="22"/>
                    </w:rPr>
                    <w:t>Customers’ Perceptions of Compliance with a Tobacco Control Law in Restaurants in Hanoi, Vietnam: A Cross-Sectional Study.</w:t>
                  </w:r>
                  <w:bookmarkEnd w:id="58"/>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Anh Dang, Bach Tran, Long Nguyen, </w:t>
                  </w:r>
                  <w:proofErr w:type="spellStart"/>
                  <w:r w:rsidRPr="00116AF4">
                    <w:rPr>
                      <w:rFonts w:ascii="Arial" w:eastAsia="Times New Roman" w:hAnsi="Arial" w:cs="Arial"/>
                      <w:szCs w:val="24"/>
                    </w:rPr>
                    <w:t>Hoa</w:t>
                  </w:r>
                  <w:proofErr w:type="spellEnd"/>
                  <w:r w:rsidRPr="00116AF4">
                    <w:rPr>
                      <w:rFonts w:ascii="Arial" w:eastAsia="Times New Roman" w:hAnsi="Arial" w:cs="Arial"/>
                      <w:szCs w:val="24"/>
                    </w:rPr>
                    <w:t xml:space="preserve"> Do, </w:t>
                  </w:r>
                  <w:proofErr w:type="spellStart"/>
                  <w:r w:rsidRPr="00116AF4">
                    <w:rPr>
                      <w:rFonts w:ascii="Arial" w:eastAsia="Times New Roman" w:hAnsi="Arial" w:cs="Arial"/>
                      <w:szCs w:val="24"/>
                    </w:rPr>
                    <w:t>Cuong</w:t>
                  </w:r>
                  <w:proofErr w:type="spellEnd"/>
                  <w:r w:rsidRPr="00116AF4">
                    <w:rPr>
                      <w:rFonts w:ascii="Arial" w:eastAsia="Times New Roman" w:hAnsi="Arial" w:cs="Arial"/>
                      <w:szCs w:val="24"/>
                    </w:rPr>
                    <w:t xml:space="preserve"> Nguyen and others. International Journal of Environmental Research and Public Health, 2018, volume 15, number 7, p. 1451.</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43" w:tgtFrame="_blank" w:history="1">
                    <w:r w:rsidRPr="00116AF4">
                      <w:rPr>
                        <w:rFonts w:ascii="Arial" w:eastAsia="Times New Roman" w:hAnsi="Arial" w:cs="Arial"/>
                        <w:color w:val="1155CC"/>
                        <w:szCs w:val="24"/>
                        <w:u w:val="single"/>
                      </w:rPr>
                      <w:t>http://www.mdpi.com/1660-4601/15/7/1451</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Tobacco Harm Prevention Law has been promulgated in 2012 in Vietnam, prohibiting smoking in public places such as restaurants except for designated smoking areas. However, currently, evidence about Vietnamese customers’ and restaurants’ compliance with the Law is constrained. This study aimed to explore customers’ perceptions; attitudes and practices towards the </w:t>
                  </w:r>
                  <w:r w:rsidRPr="00116AF4">
                    <w:rPr>
                      <w:rFonts w:ascii="Arial" w:eastAsia="Times New Roman" w:hAnsi="Arial" w:cs="Arial"/>
                      <w:szCs w:val="24"/>
                    </w:rPr>
                    <w:lastRenderedPageBreak/>
                    <w:t>compliance with tobacco control regulations in the restaurants in Hanoi, Vietnam. A cross-sectional study was performed in October 2015 with 1746 customers in 176 communes in Hanoi, Vietnam. Data about customers’ perceptions on how restaurants comply with the smoking control law and whether customers smoking actively or experienced SHS in restaurants in the last 30 days were collected. Multivariable mixed effects logistic regression model was used to determine the factors related to smoking in the restaurant. Most customers were aware of the law on Tobacco Harm Prevention (79%; n = 1320) and regulations that prohibited smoking in restaurants (78.4%; n = 1137). While 75.8% (n = 1285) of customers perceived that they did not see or rarely saw no-smoking signs, 17.7% (n = 481) of customers reported that they frequently saw direct marketing of tobacco in visited restaurants. About one-fourth of customers witnessed that the staff reminded customers not to smoke inside restaurants (28.8%; n = 313), and 65% (n = 1135) sometimes or always were exposed to secondhand smoke in their visited restaurants. People who were female (OR = 0.02, 95% CI = 0.01–0.05) were less likely to report their smoking in the restaurant than their counterparts. Those having higher age (OR = 1.03; 95% CI = 1.01–1.06), high school education (OR = 2.14, 95% CI = 1.07–4.26), being office workers (OR = 3.24, 95% CI = 1.33–7.92) or unemployed (OR = 4.45; 95% CI = 1.09–18.15) had a higher likelihood of reporting to be restaurant smokers than those having lower high education or students, respectively. This study highlighted a low level of perceived compliance with the smoke-free law in Vietnamese restaurants. Improving the monitoring systems for the enforcement of the smoking law in restaurants should be prioritized; restaurant owners should implement 100% smoke-free environments as following the best practice towards the tobacco control law along with educational campaigns to promote the awareness of restaurant owners and customers about the tobacco control law.</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59" w:name="m_2775912902713410657__Toc522026505"/>
                  <w:r w:rsidRPr="00116AF4">
                    <w:rPr>
                      <w:rFonts w:ascii="Calibri" w:eastAsia="Times New Roman" w:hAnsi="Calibri" w:cs="Calibri"/>
                      <w:b/>
                      <w:bCs/>
                      <w:color w:val="800000"/>
                      <w:sz w:val="22"/>
                    </w:rPr>
                    <w:t xml:space="preserve">Addressing multiple modifiable risks through structured community-based Learning Clubs to improve maternal and infant health and infant development in rural Vietnam: protocol for a parallel group cluster </w:t>
                  </w:r>
                  <w:proofErr w:type="spellStart"/>
                  <w:r w:rsidRPr="00116AF4">
                    <w:rPr>
                      <w:rFonts w:ascii="Calibri" w:eastAsia="Times New Roman" w:hAnsi="Calibri" w:cs="Calibri"/>
                      <w:b/>
                      <w:bCs/>
                      <w:color w:val="800000"/>
                      <w:sz w:val="22"/>
                    </w:rPr>
                    <w:t>randomised</w:t>
                  </w:r>
                  <w:proofErr w:type="spellEnd"/>
                  <w:r w:rsidRPr="00116AF4">
                    <w:rPr>
                      <w:rFonts w:ascii="Calibri" w:eastAsia="Times New Roman" w:hAnsi="Calibri" w:cs="Calibri"/>
                      <w:b/>
                      <w:bCs/>
                      <w:color w:val="800000"/>
                      <w:sz w:val="22"/>
                    </w:rPr>
                    <w:t xml:space="preserve"> controlled trial.</w:t>
                  </w:r>
                  <w:bookmarkEnd w:id="59"/>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Jane Fisher, Tuan Tran, Stanley </w:t>
                  </w:r>
                  <w:proofErr w:type="spellStart"/>
                  <w:r w:rsidRPr="00116AF4">
                    <w:rPr>
                      <w:rFonts w:ascii="Arial" w:eastAsia="Times New Roman" w:hAnsi="Arial" w:cs="Arial"/>
                      <w:szCs w:val="24"/>
                    </w:rPr>
                    <w:t>Luchters</w:t>
                  </w:r>
                  <w:proofErr w:type="spellEnd"/>
                  <w:r w:rsidRPr="00116AF4">
                    <w:rPr>
                      <w:rFonts w:ascii="Arial" w:eastAsia="Times New Roman" w:hAnsi="Arial" w:cs="Arial"/>
                      <w:szCs w:val="24"/>
                    </w:rPr>
                    <w:t xml:space="preserve">, Thach D Tran, David B </w:t>
                  </w:r>
                  <w:proofErr w:type="spellStart"/>
                  <w:r w:rsidRPr="00116AF4">
                    <w:rPr>
                      <w:rFonts w:ascii="Arial" w:eastAsia="Times New Roman" w:hAnsi="Arial" w:cs="Arial"/>
                      <w:szCs w:val="24"/>
                    </w:rPr>
                    <w:t>Hipgrave</w:t>
                  </w:r>
                  <w:proofErr w:type="spellEnd"/>
                  <w:r w:rsidRPr="00116AF4">
                    <w:rPr>
                      <w:rFonts w:ascii="Arial" w:eastAsia="Times New Roman" w:hAnsi="Arial" w:cs="Arial"/>
                      <w:szCs w:val="24"/>
                    </w:rPr>
                    <w:t xml:space="preserve"> and others. BMJ Open, 2018, volume 8, number 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44" w:tgtFrame="_blank" w:history="1">
                    <w:r w:rsidRPr="00116AF4">
                      <w:rPr>
                        <w:rFonts w:ascii="Arial" w:eastAsia="Times New Roman" w:hAnsi="Arial" w:cs="Arial"/>
                        <w:color w:val="1155CC"/>
                        <w:szCs w:val="24"/>
                        <w:u w:val="single"/>
                      </w:rPr>
                      <w:t>https://bmjopen.bmj.com/content/bmjopen/8/7/e023539.full.pdf</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Introduction Optimal early childhood development is an international priority. Risks during pregnancy and early childhood have lasting effects because growth is rapid. We will test whether a complex intervention addressing multiple modifiable risks: maternal nutrition, mental health, parenting capabilities, infant health and development and gender-based violence, is effective in reducing deficient </w:t>
                  </w:r>
                  <w:r w:rsidRPr="00116AF4">
                    <w:rPr>
                      <w:rFonts w:ascii="Arial" w:eastAsia="Times New Roman" w:hAnsi="Arial" w:cs="Arial"/>
                      <w:szCs w:val="24"/>
                    </w:rPr>
                    <w:lastRenderedPageBreak/>
                    <w:t xml:space="preserve">cognitive development among children aged two in rural </w:t>
                  </w:r>
                  <w:proofErr w:type="spellStart"/>
                  <w:r w:rsidRPr="00116AF4">
                    <w:rPr>
                      <w:rFonts w:ascii="Arial" w:eastAsia="Times New Roman" w:hAnsi="Arial" w:cs="Arial"/>
                      <w:szCs w:val="24"/>
                    </w:rPr>
                    <w:t>Vietnam.Methods</w:t>
                  </w:r>
                  <w:proofErr w:type="spellEnd"/>
                  <w:r w:rsidRPr="00116AF4">
                    <w:rPr>
                      <w:rFonts w:ascii="Arial" w:eastAsia="Times New Roman" w:hAnsi="Arial" w:cs="Arial"/>
                      <w:szCs w:val="24"/>
                    </w:rPr>
                    <w:t xml:space="preserve"> and analysis The Learning Clubs intervention is a structured </w:t>
                  </w:r>
                  <w:proofErr w:type="spellStart"/>
                  <w:r w:rsidRPr="00116AF4">
                    <w:rPr>
                      <w:rFonts w:ascii="Arial" w:eastAsia="Times New Roman" w:hAnsi="Arial" w:cs="Arial"/>
                      <w:szCs w:val="24"/>
                    </w:rPr>
                    <w:t>programme</w:t>
                  </w:r>
                  <w:proofErr w:type="spellEnd"/>
                  <w:r w:rsidRPr="00116AF4">
                    <w:rPr>
                      <w:rFonts w:ascii="Arial" w:eastAsia="Times New Roman" w:hAnsi="Arial" w:cs="Arial"/>
                      <w:szCs w:val="24"/>
                    </w:rPr>
                    <w:t xml:space="preserve"> combining perinatal stage-specific information, learning activities and social support. It comprises 20 modules, in 19 accessible, facilitated groups for women at a community </w:t>
                  </w:r>
                  <w:proofErr w:type="spellStart"/>
                  <w:r w:rsidRPr="00116AF4">
                    <w:rPr>
                      <w:rFonts w:ascii="Arial" w:eastAsia="Times New Roman" w:hAnsi="Arial" w:cs="Arial"/>
                      <w:szCs w:val="24"/>
                    </w:rPr>
                    <w:t>centre</w:t>
                  </w:r>
                  <w:proofErr w:type="spellEnd"/>
                  <w:r w:rsidRPr="00116AF4">
                    <w:rPr>
                      <w:rFonts w:ascii="Arial" w:eastAsia="Times New Roman" w:hAnsi="Arial" w:cs="Arial"/>
                      <w:szCs w:val="24"/>
                    </w:rPr>
                    <w:t xml:space="preserve"> and one home visit. Evidence-informed content is from interventions to address each risk tested in </w:t>
                  </w:r>
                  <w:proofErr w:type="spellStart"/>
                  <w:r w:rsidRPr="00116AF4">
                    <w:rPr>
                      <w:rFonts w:ascii="Arial" w:eastAsia="Times New Roman" w:hAnsi="Arial" w:cs="Arial"/>
                      <w:szCs w:val="24"/>
                    </w:rPr>
                    <w:t>randomised</w:t>
                  </w:r>
                  <w:proofErr w:type="spellEnd"/>
                  <w:r w:rsidRPr="00116AF4">
                    <w:rPr>
                      <w:rFonts w:ascii="Arial" w:eastAsia="Times New Roman" w:hAnsi="Arial" w:cs="Arial"/>
                      <w:szCs w:val="24"/>
                    </w:rPr>
                    <w:t xml:space="preserve"> controlled trials in other resource-constrained settings. Content has been translated and culturally adapted for Vietnam and acceptability and feasibility established in pilot </w:t>
                  </w:r>
                  <w:proofErr w:type="spellStart"/>
                  <w:r w:rsidRPr="00116AF4">
                    <w:rPr>
                      <w:rFonts w:ascii="Arial" w:eastAsia="Times New Roman" w:hAnsi="Arial" w:cs="Arial"/>
                      <w:szCs w:val="24"/>
                    </w:rPr>
                    <w:t>testing.We</w:t>
                  </w:r>
                  <w:proofErr w:type="spellEnd"/>
                  <w:r w:rsidRPr="00116AF4">
                    <w:rPr>
                      <w:rFonts w:ascii="Arial" w:eastAsia="Times New Roman" w:hAnsi="Arial" w:cs="Arial"/>
                      <w:szCs w:val="24"/>
                    </w:rPr>
                    <w:t xml:space="preserve"> will conduct a two-arm parallel-group cluster-</w:t>
                  </w:r>
                  <w:proofErr w:type="spellStart"/>
                  <w:r w:rsidRPr="00116AF4">
                    <w:rPr>
                      <w:rFonts w:ascii="Arial" w:eastAsia="Times New Roman" w:hAnsi="Arial" w:cs="Arial"/>
                      <w:szCs w:val="24"/>
                    </w:rPr>
                    <w:t>randomised</w:t>
                  </w:r>
                  <w:proofErr w:type="spellEnd"/>
                  <w:r w:rsidRPr="00116AF4">
                    <w:rPr>
                      <w:rFonts w:ascii="Arial" w:eastAsia="Times New Roman" w:hAnsi="Arial" w:cs="Arial"/>
                      <w:szCs w:val="24"/>
                    </w:rPr>
                    <w:t xml:space="preserve"> controlled trial, with the commune as clustering unit. An independent statistician will select 84/112 communes in Ha Nam Province and randomly assign 42 to the control arm providing usual care and 42 to the intervention arm. In total, 1008 pregnant women (12 per commune) from 84 clusters are needed to detect a difference in the primary outcome (Bayley Scales of Infant and Toddler Development Cognitive Score &amp;lt;1 SD below </w:t>
                  </w:r>
                  <w:proofErr w:type="spellStart"/>
                  <w:r w:rsidRPr="00116AF4">
                    <w:rPr>
                      <w:rFonts w:ascii="Arial" w:eastAsia="Times New Roman" w:hAnsi="Arial" w:cs="Arial"/>
                      <w:szCs w:val="24"/>
                    </w:rPr>
                    <w:t>standardised</w:t>
                  </w:r>
                  <w:proofErr w:type="spellEnd"/>
                  <w:r w:rsidRPr="00116AF4">
                    <w:rPr>
                      <w:rFonts w:ascii="Arial" w:eastAsia="Times New Roman" w:hAnsi="Arial" w:cs="Arial"/>
                      <w:szCs w:val="24"/>
                    </w:rPr>
                    <w:t xml:space="preserve"> norm for 2 years of age) of 15% in the control and 8% in the intervention arms, with 80% power, significance 0.05 and </w:t>
                  </w:r>
                  <w:proofErr w:type="spellStart"/>
                  <w:r w:rsidRPr="00116AF4">
                    <w:rPr>
                      <w:rFonts w:ascii="Arial" w:eastAsia="Times New Roman" w:hAnsi="Arial" w:cs="Arial"/>
                      <w:szCs w:val="24"/>
                    </w:rPr>
                    <w:t>intracluster</w:t>
                  </w:r>
                  <w:proofErr w:type="spellEnd"/>
                  <w:r w:rsidRPr="00116AF4">
                    <w:rPr>
                      <w:rFonts w:ascii="Arial" w:eastAsia="Times New Roman" w:hAnsi="Arial" w:cs="Arial"/>
                      <w:szCs w:val="24"/>
                    </w:rPr>
                    <w:t xml:space="preserve"> correlation coefficient 0.03.Ethics and dissemination Monash University Human Research Ethics Committee (Certificate Number 20160683), Melbourne, Victoria, Australia and the Institutional Review Board of the Hanoi School of Public Health (Certificate Number 017-377IDD- YTCC), Hanoi, Vietnam have approved the trial. Results will be disseminated through a comprehensive </w:t>
                  </w:r>
                  <w:proofErr w:type="spellStart"/>
                  <w:r w:rsidRPr="00116AF4">
                    <w:rPr>
                      <w:rFonts w:ascii="Arial" w:eastAsia="Times New Roman" w:hAnsi="Arial" w:cs="Arial"/>
                      <w:szCs w:val="24"/>
                    </w:rPr>
                    <w:t>multistranded</w:t>
                  </w:r>
                  <w:proofErr w:type="spellEnd"/>
                  <w:r w:rsidRPr="00116AF4">
                    <w:rPr>
                      <w:rFonts w:ascii="Arial" w:eastAsia="Times New Roman" w:hAnsi="Arial" w:cs="Arial"/>
                      <w:szCs w:val="24"/>
                    </w:rPr>
                    <w:t xml:space="preserve"> dissemination strategy including peer-reviewed publications, national and international conference presentations, seminars and technical and lay language </w:t>
                  </w:r>
                  <w:proofErr w:type="spellStart"/>
                  <w:r w:rsidRPr="00116AF4">
                    <w:rPr>
                      <w:rFonts w:ascii="Arial" w:eastAsia="Times New Roman" w:hAnsi="Arial" w:cs="Arial"/>
                      <w:szCs w:val="24"/>
                    </w:rPr>
                    <w:t>reports.Trial</w:t>
                  </w:r>
                  <w:proofErr w:type="spellEnd"/>
                  <w:r w:rsidRPr="00116AF4">
                    <w:rPr>
                      <w:rFonts w:ascii="Arial" w:eastAsia="Times New Roman" w:hAnsi="Arial" w:cs="Arial"/>
                      <w:szCs w:val="24"/>
                    </w:rPr>
                    <w:t xml:space="preserve"> registration number ACTRN12617000442303; Pre-results.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45"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0" w:name="m_2775912902713410657__Toc522026506"/>
                  <w:r w:rsidRPr="00116AF4">
                    <w:rPr>
                      <w:rFonts w:ascii="Calibri" w:eastAsia="Times New Roman" w:hAnsi="Calibri" w:cs="Calibri"/>
                      <w:b/>
                      <w:bCs/>
                      <w:color w:val="800000"/>
                      <w:sz w:val="22"/>
                    </w:rPr>
                    <w:t>Financial mobilization for antiretroviral therapy program: multi-level predictors of willingness to pay among patients with HIV/AIDS in Vietnam.</w:t>
                  </w:r>
                  <w:bookmarkEnd w:id="60"/>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Bach Xuan Tran, Mercedes Fleming, </w:t>
                  </w:r>
                  <w:proofErr w:type="spellStart"/>
                  <w:r w:rsidRPr="00116AF4">
                    <w:rPr>
                      <w:rFonts w:ascii="Arial" w:eastAsia="Times New Roman" w:hAnsi="Arial" w:cs="Arial"/>
                      <w:szCs w:val="24"/>
                    </w:rPr>
                    <w:t>Cuong</w:t>
                  </w:r>
                  <w:proofErr w:type="spellEnd"/>
                  <w:r w:rsidRPr="00116AF4">
                    <w:rPr>
                      <w:rFonts w:ascii="Arial" w:eastAsia="Times New Roman" w:hAnsi="Arial" w:cs="Arial"/>
                      <w:szCs w:val="24"/>
                    </w:rPr>
                    <w:t xml:space="preserve"> Tat Nguyen and Carl A </w:t>
                  </w:r>
                  <w:proofErr w:type="spellStart"/>
                  <w:r w:rsidRPr="00116AF4">
                    <w:rPr>
                      <w:rFonts w:ascii="Arial" w:eastAsia="Times New Roman" w:hAnsi="Arial" w:cs="Arial"/>
                      <w:szCs w:val="24"/>
                    </w:rPr>
                    <w:t>Latkin</w:t>
                  </w:r>
                  <w:proofErr w:type="spellEnd"/>
                  <w:r w:rsidRPr="00116AF4">
                    <w:rPr>
                      <w:rFonts w:ascii="Arial" w:eastAsia="Times New Roman" w:hAnsi="Arial" w:cs="Arial"/>
                      <w:szCs w:val="24"/>
                    </w:rPr>
                    <w:t>. AIDS Care, 2018, pp. 1-10.</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 Vietnam, significant progress has been made in increasing the number of patients receiving antiretroviral therapy (ART) in the last number of years. As this number increases and international aid and funding for HIV services declines, a greater proportion of ART funding will need to be provided by the government budget, health insurance or by the patients themselves. This study aims to evaluate the willingness of HIV patients to pay for ART. A cross-sectional study which included 1133 HIV-positive patients was conducted across 8 outpatient centers in </w:t>
                  </w:r>
                  <w:r w:rsidRPr="00116AF4">
                    <w:rPr>
                      <w:rFonts w:ascii="Arial" w:eastAsia="Times New Roman" w:hAnsi="Arial" w:cs="Arial"/>
                      <w:szCs w:val="24"/>
                    </w:rPr>
                    <w:lastRenderedPageBreak/>
                    <w:t xml:space="preserve">Hanoi and Nam </w:t>
                  </w:r>
                  <w:proofErr w:type="spellStart"/>
                  <w:r w:rsidRPr="00116AF4">
                    <w:rPr>
                      <w:rFonts w:ascii="Arial" w:eastAsia="Times New Roman" w:hAnsi="Arial" w:cs="Arial"/>
                      <w:szCs w:val="24"/>
                    </w:rPr>
                    <w:t>Binh</w:t>
                  </w:r>
                  <w:proofErr w:type="spellEnd"/>
                  <w:r w:rsidRPr="00116AF4">
                    <w:rPr>
                      <w:rFonts w:ascii="Arial" w:eastAsia="Times New Roman" w:hAnsi="Arial" w:cs="Arial"/>
                      <w:szCs w:val="24"/>
                    </w:rPr>
                    <w:t xml:space="preserve"> in Northern Vietnam in 2013. Contingent valuation method was used to assess the willingness to pay (WTP) of patient for ART. Over 90% of the patients were willing to pay for ART for an average amount of 19.7 USD per month. Regression models showed that the willingness of patients to pay for ART was influenced by factors such as employment, income, quality of life and social factors. The amount patients were willing to pay was also associated with gender, living place and level of HIV service administration. By establishing these factors which influence the amount of WTP for ART, plans for the future can be effectively designed and patient groups at risk can be appropriately managed.</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1" w:name="m_2775912902713410657__Toc522026507"/>
                  <w:r w:rsidRPr="00116AF4">
                    <w:rPr>
                      <w:rFonts w:ascii="Calibri" w:eastAsia="Times New Roman" w:hAnsi="Calibri" w:cs="Calibri"/>
                      <w:b/>
                      <w:bCs/>
                      <w:color w:val="800000"/>
                      <w:sz w:val="22"/>
                    </w:rPr>
                    <w:t>The Social Life of Health Insurance Temporality, Care, and the Politics of Financing Health in Rural Vietnam [PhD thesis].</w:t>
                  </w:r>
                  <w:bookmarkEnd w:id="61"/>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Amy Dao, </w:t>
                  </w:r>
                  <w:proofErr w:type="spellStart"/>
                  <w:r w:rsidRPr="00116AF4">
                    <w:rPr>
                      <w:rFonts w:ascii="Arial" w:eastAsia="Times New Roman" w:hAnsi="Arial" w:cs="Arial"/>
                      <w:szCs w:val="24"/>
                    </w:rPr>
                    <w:t>editor^editors</w:t>
                  </w:r>
                  <w:proofErr w:type="spellEnd"/>
                  <w:r w:rsidRPr="00116AF4">
                    <w:rPr>
                      <w:rFonts w:ascii="Arial" w:eastAsia="Times New Roman" w:hAnsi="Arial" w:cs="Arial"/>
                      <w:szCs w:val="24"/>
                    </w:rPr>
                    <w:t>, Columbia University,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Health insurance stands at the center of global debates on how nations can ensure equitable access to health care, especially for countries like Vietnam whose integration into the global economy has boosted economic development but intensified social inequality. When health insurance is promoted to low- to middle-income country contexts by development agencies such as the World Health Organization and the World Bank, what embedded cultural values accompany this? How do locally specific historical, political, and ethical concepts for managing vulnerability and uncertainty shape public understanding of insurance? To date, empirical research on health insurance’s impact has tended to examine its relation to health outcomes, service utilization patterns, or health care delivery rather than its cultural effects. As health insurance initiatives have expanded to at least 27 countries within the last decade, the universality of insurance’s value to local populations cannot be assumed. This ethnographic research investigates the cultural mediators and effects as a factor for understanding public responses to health insurance. It documents how this financial technology is transforming knowledge about how to care and manage health vulnerability. With the support of international organizations, the Vietnamese government began its universal health insurance enrollment campaign in 2015. State officials, however, identify the “Vietnamese habit” of purchasing insurance only when ill as both a technical and cultural problem to achieving universal coverage. To better understand this process, I investigated how strategies to “change the mindset of citizens” were deployed by state media and personnel, and then actively resisted, incorporated, or transformed by community members. The study took place in </w:t>
                  </w:r>
                  <w:proofErr w:type="spellStart"/>
                  <w:r w:rsidRPr="00116AF4">
                    <w:rPr>
                      <w:rFonts w:ascii="Arial" w:eastAsia="Times New Roman" w:hAnsi="Arial" w:cs="Arial"/>
                      <w:szCs w:val="24"/>
                    </w:rPr>
                    <w:t>Vinh</w:t>
                  </w:r>
                  <w:proofErr w:type="spellEnd"/>
                  <w:r w:rsidRPr="00116AF4">
                    <w:rPr>
                      <w:rFonts w:ascii="Arial" w:eastAsia="Times New Roman" w:hAnsi="Arial" w:cs="Arial"/>
                      <w:szCs w:val="24"/>
                    </w:rPr>
                    <w:t xml:space="preserve"> Long Province, an agricultural area in the Mekong Delta with one of the highest uninsured rates in the country. I conducted twelve months of ethnographic research, including 60 semi-structured interviews with community members, health insurance professionals, and health care professionals; and extended participant observation in government health </w:t>
                  </w:r>
                  <w:r w:rsidRPr="00116AF4">
                    <w:rPr>
                      <w:rFonts w:ascii="Arial" w:eastAsia="Times New Roman" w:hAnsi="Arial" w:cs="Arial"/>
                      <w:szCs w:val="24"/>
                    </w:rPr>
                    <w:lastRenderedPageBreak/>
                    <w:t>facilities, insurance offices, and the homes of community members. The study analyzes the social consequences of new health insurance initiatives, the temporality of care, everyday dimensions of health care uncertainty, and their relevance to concerns within medical anthropology. I demonstrate how Vietnam’s insurance reform affected the terms through which people understood their social relations and risk subjectivities. By detailing the dynamic processes of a health insurance campaign aimed at changing health behaviors, the research reveals how financial policies are not value neutral. Rather, they reshape local moral worlds, social relations, and practices for managing uncertainty in late socialist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46"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2" w:name="m_2775912902713410657__Toc522026508"/>
                  <w:r w:rsidRPr="00116AF4">
                    <w:rPr>
                      <w:rFonts w:ascii="Calibri" w:eastAsia="Times New Roman" w:hAnsi="Calibri" w:cs="Calibri"/>
                      <w:b/>
                      <w:bCs/>
                      <w:color w:val="800000"/>
                      <w:sz w:val="22"/>
                    </w:rPr>
                    <w:t>Focused Cardiac Ultrasound by Nurses in Rural Vietnam.</w:t>
                  </w:r>
                  <w:bookmarkEnd w:id="62"/>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James N. Kirkpatrick, </w:t>
                  </w:r>
                  <w:proofErr w:type="spellStart"/>
                  <w:r w:rsidRPr="00116AF4">
                    <w:rPr>
                      <w:rFonts w:ascii="Arial" w:eastAsia="Times New Roman" w:hAnsi="Arial" w:cs="Arial"/>
                      <w:szCs w:val="24"/>
                    </w:rPr>
                    <w:t>Hoai</w:t>
                  </w:r>
                  <w:proofErr w:type="spellEnd"/>
                  <w:r w:rsidRPr="00116AF4">
                    <w:rPr>
                      <w:rFonts w:ascii="Arial" w:eastAsia="Times New Roman" w:hAnsi="Arial" w:cs="Arial"/>
                      <w:szCs w:val="24"/>
                    </w:rPr>
                    <w:t xml:space="preserve"> T. T. Nguyen, </w:t>
                  </w:r>
                  <w:proofErr w:type="spellStart"/>
                  <w:r w:rsidRPr="00116AF4">
                    <w:rPr>
                      <w:rFonts w:ascii="Arial" w:eastAsia="Times New Roman" w:hAnsi="Arial" w:cs="Arial"/>
                      <w:szCs w:val="24"/>
                    </w:rPr>
                    <w:t>Loi</w:t>
                  </w:r>
                  <w:proofErr w:type="spellEnd"/>
                  <w:r w:rsidRPr="00116AF4">
                    <w:rPr>
                      <w:rFonts w:ascii="Arial" w:eastAsia="Times New Roman" w:hAnsi="Arial" w:cs="Arial"/>
                      <w:szCs w:val="24"/>
                    </w:rPr>
                    <w:t xml:space="preserve"> Do Doan, Thanh T. Le, Son Pham Thai and others. Journal of the American Society of Echocardiography,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47" w:tgtFrame="_blank" w:history="1">
                    <w:r w:rsidRPr="00116AF4">
                      <w:rPr>
                        <w:rFonts w:ascii="Arial" w:eastAsia="Times New Roman" w:hAnsi="Arial" w:cs="Arial"/>
                        <w:color w:val="1155CC"/>
                        <w:szCs w:val="24"/>
                        <w:u w:val="single"/>
                      </w:rPr>
                      <w:t>https://doi.org/10.1016/j.echo.2018.05.013</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w:t>
                  </w:r>
                  <w:proofErr w:type="spellStart"/>
                  <w:r w:rsidRPr="00116AF4">
                    <w:rPr>
                      <w:rFonts w:ascii="Arial" w:eastAsia="Times New Roman" w:hAnsi="Arial" w:cs="Arial"/>
                      <w:szCs w:val="24"/>
                    </w:rPr>
                    <w:t>BackgroundMultiple</w:t>
                  </w:r>
                  <w:proofErr w:type="spellEnd"/>
                  <w:r w:rsidRPr="00116AF4">
                    <w:rPr>
                      <w:rFonts w:ascii="Arial" w:eastAsia="Times New Roman" w:hAnsi="Arial" w:cs="Arial"/>
                      <w:szCs w:val="24"/>
                    </w:rPr>
                    <w:t xml:space="preserve"> studies investigating the use of focused cardiac ultrasound (FCU) in lower and middle-income countries and in medically underserved areas of the United States have demonstrated utility in echocardiographic screening algorithms performed by a variety of operators at different levels of training. No study to date has employed previously untrained nurses in a medically underserved setting to identify older adults with cardiac disorders. The aim of this study was to assess the accuracy of nurse-performed FCU to screen adult subjects at a village health center in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3" w:name="m_2775912902713410657__Toc522026509"/>
                  <w:r w:rsidRPr="00116AF4">
                    <w:rPr>
                      <w:rFonts w:ascii="Calibri" w:eastAsia="Times New Roman" w:hAnsi="Calibri" w:cs="Calibri"/>
                      <w:b/>
                      <w:bCs/>
                      <w:color w:val="800000"/>
                      <w:sz w:val="22"/>
                    </w:rPr>
                    <w:t>Early life shocks and mental health: The long-term effect of war in Vietnam.</w:t>
                  </w:r>
                  <w:bookmarkEnd w:id="63"/>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Saurabh </w:t>
                  </w:r>
                  <w:proofErr w:type="spellStart"/>
                  <w:r w:rsidRPr="00116AF4">
                    <w:rPr>
                      <w:rFonts w:ascii="Arial" w:eastAsia="Times New Roman" w:hAnsi="Arial" w:cs="Arial"/>
                      <w:szCs w:val="24"/>
                    </w:rPr>
                    <w:t>Singhal</w:t>
                  </w:r>
                  <w:proofErr w:type="spellEnd"/>
                  <w:r w:rsidRPr="00116AF4">
                    <w:rPr>
                      <w:rFonts w:ascii="Arial" w:eastAsia="Times New Roman" w:hAnsi="Arial" w:cs="Arial"/>
                      <w:szCs w:val="24"/>
                    </w:rPr>
                    <w:t>. Journal of Development Economics,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This paper provides causal evidence on early-life exposure to war on mental health status in adulthood. Using an instrumental variable strategy, the evidence indicates that early-life exposure to bombing during the American war in Vietnam has long-term effects. A one percent increase in bombing intensity during 1965–75 increases the likelihood of severe mental distress in adulthood by 16 </w:t>
                  </w:r>
                  <w:r w:rsidRPr="00116AF4">
                    <w:rPr>
                      <w:rFonts w:ascii="Arial" w:eastAsia="Times New Roman" w:hAnsi="Arial" w:cs="Arial"/>
                      <w:szCs w:val="24"/>
                    </w:rPr>
                    <w:lastRenderedPageBreak/>
                    <w:t>percentage points (or approximately 50 percent of the mean) and this result is robust to a variety of sensitivity checks. The negative effects of war are similar for both men and women. These findings add to the evidence on the enduring consequences of conflict and identify a critical area for policy intervention.</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4" w:name="m_2775912902713410657__Toc522026510"/>
                  <w:r w:rsidRPr="00116AF4">
                    <w:rPr>
                      <w:rFonts w:ascii="Calibri" w:eastAsia="Times New Roman" w:hAnsi="Calibri" w:cs="Calibri"/>
                      <w:b/>
                      <w:bCs/>
                      <w:color w:val="800000"/>
                      <w:sz w:val="22"/>
                    </w:rPr>
                    <w:t>Mental health in Vietnam and the move to incorporate social work: A mixed methods study of staff perceptions and expectations.</w:t>
                  </w:r>
                  <w:bookmarkEnd w:id="64"/>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Huong Nguyen, Melissa Hardesty, Trang Nguyen and </w:t>
                  </w:r>
                  <w:proofErr w:type="spellStart"/>
                  <w:r w:rsidRPr="00116AF4">
                    <w:rPr>
                      <w:rFonts w:ascii="Arial" w:eastAsia="Times New Roman" w:hAnsi="Arial" w:cs="Arial"/>
                      <w:szCs w:val="24"/>
                    </w:rPr>
                    <w:t>Chengshi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Shiu</w:t>
                  </w:r>
                  <w:proofErr w:type="spellEnd"/>
                  <w:r w:rsidRPr="00116AF4">
                    <w:rPr>
                      <w:rFonts w:ascii="Arial" w:eastAsia="Times New Roman" w:hAnsi="Arial" w:cs="Arial"/>
                      <w:szCs w:val="24"/>
                    </w:rPr>
                    <w:t>. Social Work in Mental Health, 2018, pp. 1-25.</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 2010, Vietnam established social work as a profession. As part of their strategic plan, the government aims to incorporate social work into existing hospitals and health care facilities in the country, including psychiatric hospitals and mental health care centers. This paper, based upon survey and focus group data from 194 people working in three major mental health facilities in Hanoi, explores direct care staffs? </w:t>
                  </w:r>
                  <w:proofErr w:type="gramStart"/>
                  <w:r w:rsidRPr="00116AF4">
                    <w:rPr>
                      <w:rFonts w:ascii="Arial" w:eastAsia="Times New Roman" w:hAnsi="Arial" w:cs="Arial"/>
                      <w:szCs w:val="24"/>
                    </w:rPr>
                    <w:t>perceptions</w:t>
                  </w:r>
                  <w:proofErr w:type="gramEnd"/>
                  <w:r w:rsidRPr="00116AF4">
                    <w:rPr>
                      <w:rFonts w:ascii="Arial" w:eastAsia="Times New Roman" w:hAnsi="Arial" w:cs="Arial"/>
                      <w:szCs w:val="24"/>
                    </w:rPr>
                    <w:t xml:space="preserve"> of this historic incorporation of social work, with a particular eye to the benefits and challenges of the transition. Results show most staff members thought social workers would provide great support to the many unmet needs of their largely underserved and impoverished patients. They also viewed social workers as a potential resource to the treatment team by reducing work overload. Existing staff, however, were less attuned to the clinical functions of social workers in mental health settings, often equating social work with community development and social movements. Some were concerned about social workers taking on their tasks; others about new social workers being hindered by the professional hierarchy in which doctors were placed at the top. Successful integration of social workers will hinge on strong support from policy-makers and leaders of mental health systems.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48"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5" w:name="m_2775912902713410657__Toc522026511"/>
                  <w:r w:rsidRPr="00116AF4">
                    <w:rPr>
                      <w:rFonts w:ascii="Calibri" w:eastAsia="Times New Roman" w:hAnsi="Calibri" w:cs="Calibri"/>
                      <w:b/>
                      <w:bCs/>
                      <w:color w:val="800000"/>
                      <w:sz w:val="22"/>
                    </w:rPr>
                    <w:t>Mental health literacy and intervention program adaptation in the internationalization of school psychology for Vietnam.</w:t>
                  </w:r>
                  <w:bookmarkEnd w:id="65"/>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Dang Hoang-Minh, Weiss Bahr, Lam </w:t>
                  </w:r>
                  <w:proofErr w:type="spellStart"/>
                  <w:r w:rsidRPr="00116AF4">
                    <w:rPr>
                      <w:rFonts w:ascii="Arial" w:eastAsia="Times New Roman" w:hAnsi="Arial" w:cs="Arial"/>
                      <w:szCs w:val="24"/>
                    </w:rPr>
                    <w:t>Trung</w:t>
                  </w:r>
                  <w:proofErr w:type="spellEnd"/>
                  <w:r w:rsidRPr="00116AF4">
                    <w:rPr>
                      <w:rFonts w:ascii="Arial" w:eastAsia="Times New Roman" w:hAnsi="Arial" w:cs="Arial"/>
                      <w:szCs w:val="24"/>
                    </w:rPr>
                    <w:t xml:space="preserve"> and Ho Ha. Psychology in the Schools, volume 0, number 0.</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This paper discusses how school psychology technology developed in </w:t>
                  </w:r>
                  <w:r w:rsidRPr="00116AF4">
                    <w:rPr>
                      <w:rFonts w:ascii="Arial" w:eastAsia="Times New Roman" w:hAnsi="Arial" w:cs="Arial"/>
                      <w:szCs w:val="24"/>
                    </w:rPr>
                    <w:lastRenderedPageBreak/>
                    <w:t xml:space="preserve">Western countries can be adapted for global contexts and “internationalized.” The article reports results of two studies, providing examples of (1) our school psychology internationalization experiences in Vietnam, as lessons hopefully useful for other professionals interested in international development, and (2) how Western researchers can learn through internalization experiences. Because mental health literacy is foundational for mental health development, Study 1 focused on assessment of mental health literacy among 353 Vietnamese teachers, with findings suggesting overall low mental health literacy among these participants. Study 2 focused on our Vietnam ACES </w:t>
                  </w:r>
                  <w:proofErr w:type="spellStart"/>
                  <w:r w:rsidRPr="00116AF4">
                    <w:rPr>
                      <w:rFonts w:ascii="Arial" w:eastAsia="Times New Roman" w:hAnsi="Arial" w:cs="Arial"/>
                      <w:szCs w:val="24"/>
                    </w:rPr>
                    <w:t>ProS</w:t>
                  </w:r>
                  <w:proofErr w:type="spellEnd"/>
                  <w:r w:rsidRPr="00116AF4">
                    <w:rPr>
                      <w:rFonts w:ascii="Arial" w:eastAsia="Times New Roman" w:hAnsi="Arial" w:cs="Arial"/>
                      <w:szCs w:val="24"/>
                    </w:rPr>
                    <w:t xml:space="preserve"> high-school problem-solving therapy program. We discuss the Mental Health Capacity Development Model guiding development of ACES </w:t>
                  </w:r>
                  <w:proofErr w:type="spellStart"/>
                  <w:r w:rsidRPr="00116AF4">
                    <w:rPr>
                      <w:rFonts w:ascii="Arial" w:eastAsia="Times New Roman" w:hAnsi="Arial" w:cs="Arial"/>
                      <w:szCs w:val="24"/>
                    </w:rPr>
                    <w:t>ProS</w:t>
                  </w:r>
                  <w:proofErr w:type="spellEnd"/>
                  <w:r w:rsidRPr="00116AF4">
                    <w:rPr>
                      <w:rFonts w:ascii="Arial" w:eastAsia="Times New Roman" w:hAnsi="Arial" w:cs="Arial"/>
                      <w:szCs w:val="24"/>
                    </w:rPr>
                    <w:t xml:space="preserve"> and report positive results of an evaluation of ACES </w:t>
                  </w:r>
                  <w:proofErr w:type="spellStart"/>
                  <w:r w:rsidRPr="00116AF4">
                    <w:rPr>
                      <w:rFonts w:ascii="Arial" w:eastAsia="Times New Roman" w:hAnsi="Arial" w:cs="Arial"/>
                      <w:szCs w:val="24"/>
                    </w:rPr>
                    <w:t>ProS</w:t>
                  </w:r>
                  <w:proofErr w:type="spellEnd"/>
                  <w:r w:rsidRPr="00116AF4">
                    <w:rPr>
                      <w:rFonts w:ascii="Arial" w:eastAsia="Times New Roman" w:hAnsi="Arial" w:cs="Arial"/>
                      <w:szCs w:val="24"/>
                    </w:rPr>
                    <w:t xml:space="preserve"> involving 100 Vietnamese high-school students. Program cultural adaptation (e.g., deciding whether teacher classroom praise should be excluded from classroom behavior management because of Vietnamese students’ tendency to react to praise with increased competitive behavior) is reviewed as an example of challenges faced in school psychology internationalization. This program of research shows that school psychology internationalization can be successful but requires careful attention and close collaboration.</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6" w:name="m_2775912902713410657__Toc522026512"/>
                  <w:r w:rsidRPr="00116AF4">
                    <w:rPr>
                      <w:rFonts w:ascii="Calibri" w:eastAsia="Times New Roman" w:hAnsi="Calibri" w:cs="Calibri"/>
                      <w:b/>
                      <w:bCs/>
                      <w:color w:val="800000"/>
                      <w:sz w:val="22"/>
                    </w:rPr>
                    <w:t>Perceptions of mental health and mental health services among college students in Vietnam and the United States.</w:t>
                  </w:r>
                  <w:bookmarkEnd w:id="66"/>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Akiko </w:t>
                  </w:r>
                  <w:proofErr w:type="spellStart"/>
                  <w:r w:rsidRPr="00116AF4">
                    <w:rPr>
                      <w:rFonts w:ascii="Arial" w:eastAsia="Times New Roman" w:hAnsi="Arial" w:cs="Arial"/>
                      <w:szCs w:val="24"/>
                    </w:rPr>
                    <w:t>Kamimura</w:t>
                  </w:r>
                  <w:proofErr w:type="spellEnd"/>
                  <w:r w:rsidRPr="00116AF4">
                    <w:rPr>
                      <w:rFonts w:ascii="Arial" w:eastAsia="Times New Roman" w:hAnsi="Arial" w:cs="Arial"/>
                      <w:szCs w:val="24"/>
                    </w:rPr>
                    <w:t xml:space="preserve">, Ha N. Trinh, Mitch Johansen, Jazmine Hurley, Mu </w:t>
                  </w:r>
                  <w:proofErr w:type="spellStart"/>
                  <w:r w:rsidRPr="00116AF4">
                    <w:rPr>
                      <w:rFonts w:ascii="Arial" w:eastAsia="Times New Roman" w:hAnsi="Arial" w:cs="Arial"/>
                      <w:szCs w:val="24"/>
                    </w:rPr>
                    <w:t>Pye</w:t>
                  </w:r>
                  <w:proofErr w:type="spellEnd"/>
                  <w:r w:rsidRPr="00116AF4">
                    <w:rPr>
                      <w:rFonts w:ascii="Arial" w:eastAsia="Times New Roman" w:hAnsi="Arial" w:cs="Arial"/>
                      <w:szCs w:val="24"/>
                    </w:rPr>
                    <w:t xml:space="preserve"> and others. Asian Journal of Psychiatry,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global burden of mental health disorders is a significant public health issue. One population that has significant risk for mental health issues is college students. Little is known about perceptions of mental illness and mental health services among college students in Vietnam. The purpose of this study is to describe perceptions of mental illness and mental health services among college students in Vietnam, and to compare them with those in the United States (US). The cross-sectional data were collected using a self-administered survey from January to March in 2018 at a national university in Vietnam, and a state university in the US. The study revealed differences in perceptions of causes of mental health between Vietnamese and US participants. Vietnamese participants tended to believe that individuals with mental illness were dangerous and need to be kept out from the community, while US participants perceived that mental illnesses are the same as other illnesses. An important indicator of Vietnamese perceptions of mental health was the low likelihood of seeking formal help because of preference for seeking help from family or friends for mental illness. Interventions, such as mental health awareness campaigns or training courses should be provided for college students in Vietnam. Some strategies to improve mental health among college students used in </w:t>
                  </w:r>
                  <w:r w:rsidRPr="00116AF4">
                    <w:rPr>
                      <w:rFonts w:ascii="Arial" w:eastAsia="Times New Roman" w:hAnsi="Arial" w:cs="Arial"/>
                      <w:szCs w:val="24"/>
                    </w:rPr>
                    <w:lastRenderedPageBreak/>
                    <w:t>the US may help to reduce stigma toward mental illness in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49"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7" w:name="m_2775912902713410657__Toc522026513"/>
                  <w:r w:rsidRPr="00116AF4">
                    <w:rPr>
                      <w:rFonts w:ascii="Calibri" w:eastAsia="Times New Roman" w:hAnsi="Calibri" w:cs="Calibri"/>
                      <w:b/>
                      <w:bCs/>
                      <w:color w:val="800000"/>
                      <w:sz w:val="22"/>
                    </w:rPr>
                    <w:t>Impact of maternal nutritional supplementation in conjunction with a breastfeeding support program during the last trimester to 12 weeks postpartum on breastfeeding practices and child development at 30 months old.</w:t>
                  </w:r>
                  <w:bookmarkEnd w:id="67"/>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t>Zhiying</w:t>
                  </w:r>
                  <w:proofErr w:type="spellEnd"/>
                  <w:r w:rsidRPr="00116AF4">
                    <w:rPr>
                      <w:rFonts w:ascii="Arial" w:eastAsia="Times New Roman" w:hAnsi="Arial" w:cs="Arial"/>
                      <w:szCs w:val="24"/>
                    </w:rPr>
                    <w:t xml:space="preserve"> Zhang, Nga T Tran, </w:t>
                  </w:r>
                  <w:proofErr w:type="spellStart"/>
                  <w:r w:rsidRPr="00116AF4">
                    <w:rPr>
                      <w:rFonts w:ascii="Arial" w:eastAsia="Times New Roman" w:hAnsi="Arial" w:cs="Arial"/>
                      <w:szCs w:val="24"/>
                    </w:rPr>
                    <w:t>Tu</w:t>
                  </w:r>
                  <w:proofErr w:type="spellEnd"/>
                  <w:r w:rsidRPr="00116AF4">
                    <w:rPr>
                      <w:rFonts w:ascii="Arial" w:eastAsia="Times New Roman" w:hAnsi="Arial" w:cs="Arial"/>
                      <w:szCs w:val="24"/>
                    </w:rPr>
                    <w:t xml:space="preserve"> S Nguyen, Lam T Nguyen, </w:t>
                  </w:r>
                  <w:proofErr w:type="spellStart"/>
                  <w:r w:rsidRPr="00116AF4">
                    <w:rPr>
                      <w:rFonts w:ascii="Arial" w:eastAsia="Times New Roman" w:hAnsi="Arial" w:cs="Arial"/>
                      <w:szCs w:val="24"/>
                    </w:rPr>
                    <w:t>Yatin</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Berde</w:t>
                  </w:r>
                  <w:proofErr w:type="spellEnd"/>
                  <w:r w:rsidRPr="00116AF4">
                    <w:rPr>
                      <w:rFonts w:ascii="Arial" w:eastAsia="Times New Roman" w:hAnsi="Arial" w:cs="Arial"/>
                      <w:szCs w:val="24"/>
                    </w:rPr>
                    <w:t xml:space="preserve"> and others. </w:t>
                  </w:r>
                  <w:proofErr w:type="spellStart"/>
                  <w:r w:rsidRPr="00116AF4">
                    <w:rPr>
                      <w:rFonts w:ascii="Arial" w:eastAsia="Times New Roman" w:hAnsi="Arial" w:cs="Arial"/>
                      <w:szCs w:val="24"/>
                    </w:rPr>
                    <w:t>PLoS</w:t>
                  </w:r>
                  <w:proofErr w:type="spellEnd"/>
                  <w:r w:rsidRPr="00116AF4">
                    <w:rPr>
                      <w:rFonts w:ascii="Arial" w:eastAsia="Times New Roman" w:hAnsi="Arial" w:cs="Arial"/>
                      <w:szCs w:val="24"/>
                    </w:rPr>
                    <w:t xml:space="preserve"> One, 2018, volume 13, number 7, p. e0200519.</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0" w:tgtFrame="_blank" w:history="1">
                    <w:r w:rsidRPr="00116AF4">
                      <w:rPr>
                        <w:rFonts w:ascii="Arial" w:eastAsia="Times New Roman" w:hAnsi="Arial" w:cs="Arial"/>
                        <w:color w:val="1155CC"/>
                        <w:szCs w:val="24"/>
                        <w:u w:val="single"/>
                      </w:rPr>
                      <w:t>http://journals.plos.org/plosone/article?id=10.1371/journal.pone.0200519</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BACKGROUND: Maternal nutrition during pregnancy and breastfeeding is important for the healthy growth and development of the fetus and infant. PURPOSE: This study aimed to evaluate the long-term effects of a maternal milk supplementation (MMS) in conjunction with a breastfeeding support program on breastfeeding practices including duration of any breastfeeding and exclusive breastfeeding and child neurodevelopment outcomes at 30 months old. METHODS: We followed up the offspring of 204 Vietnamese women who completed a randomized controlled trial where the intervention group received MMS with a breastfeeding support program from the last trimester to 12 weeks postpartum while the control group received standard care. At 30 months postpartum, information on child feeding practices was collected and child neurodevelopment was assessed by the Bayley Scales of Infant and Toddler Development (Bayley-III). RESULTS: There was no significant difference in the duration of any breastfeeding (ABF) from birth between the groups. However, the intervention group had longer exclusive breastfeeding (EBF) duration (p = 0.0172), higher EBF rate at 6 months (p = 0.0093) and lower risk of discontinuing EBF (p = 0.0071) than the control. Children in the intervention group had significantly higher Bayley-III composite scores in the domains of cognitive (p = 0.0498) and motor (p = 0.0422) functions, as well as a tendency toward better social-emotional behavior (p = 0.0513) than children in the control group. The association between maternal intervention and child development was attenuated after further adjustment for birth weight but not EBF duration, suggesting that improvements in child development may be partially attributed to the benefits of prenatal nutrition supplementation on birth outcomes. CONCLUSIONS: MMS with breastfeeding support during late pregnancy and early postpartum significantly improved EBF practices. The intervention was also associated with improvements in neurodevelopment in children at 30 months old.</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lastRenderedPageBreak/>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b/>
                      <w:bCs/>
                      <w:color w:val="800000"/>
                      <w:szCs w:val="24"/>
                    </w:rPr>
                    <w:t xml:space="preserve">Evaluating the impact of Marie Stopes International’s digital family planning counselling application on the uptake of long-acting and permanent methods of contraception in Vietnam and Ethiopia: a study protocol for a multi-country cluster </w:t>
                  </w:r>
                  <w:proofErr w:type="spellStart"/>
                  <w:r w:rsidRPr="00116AF4">
                    <w:rPr>
                      <w:rFonts w:ascii="Arial" w:eastAsia="Times New Roman" w:hAnsi="Arial" w:cs="Arial"/>
                      <w:b/>
                      <w:bCs/>
                      <w:color w:val="800000"/>
                      <w:szCs w:val="24"/>
                    </w:rPr>
                    <w:t>randomised</w:t>
                  </w:r>
                  <w:proofErr w:type="spellEnd"/>
                  <w:r w:rsidRPr="00116AF4">
                    <w:rPr>
                      <w:rFonts w:ascii="Arial" w:eastAsia="Times New Roman" w:hAnsi="Arial" w:cs="Arial"/>
                      <w:b/>
                      <w:bCs/>
                      <w:color w:val="800000"/>
                      <w:szCs w:val="24"/>
                    </w:rPr>
                    <w:t xml:space="preserve"> controlled trial.</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Laura A. Bates, Joseph P. Hicks, John </w:t>
                  </w:r>
                  <w:proofErr w:type="spellStart"/>
                  <w:r w:rsidRPr="00116AF4">
                    <w:rPr>
                      <w:rFonts w:ascii="Arial" w:eastAsia="Times New Roman" w:hAnsi="Arial" w:cs="Arial"/>
                      <w:szCs w:val="24"/>
                    </w:rPr>
                    <w:t>Walley</w:t>
                  </w:r>
                  <w:proofErr w:type="spellEnd"/>
                  <w:r w:rsidRPr="00116AF4">
                    <w:rPr>
                      <w:rFonts w:ascii="Arial" w:eastAsia="Times New Roman" w:hAnsi="Arial" w:cs="Arial"/>
                      <w:szCs w:val="24"/>
                    </w:rPr>
                    <w:t xml:space="preserve"> and Emily Robinson. Trials, 2018, volume 19, number 1, p. 420.</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1" w:tgtFrame="_blank" w:history="1">
                    <w:r w:rsidRPr="00116AF4">
                      <w:rPr>
                        <w:rFonts w:ascii="Arial" w:eastAsia="Times New Roman" w:hAnsi="Arial" w:cs="Arial"/>
                        <w:color w:val="1155CC"/>
                        <w:szCs w:val="24"/>
                        <w:u w:val="single"/>
                      </w:rPr>
                      <w:t>https://doi.org/10.1186/s13063-018-2815-0</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Maintaining quality of care in family planning (FP) counselling in low-resource settings is challenging. Job aids can help providers give more accurate and client-specific </w:t>
                  </w:r>
                  <w:proofErr w:type="gramStart"/>
                  <w:r w:rsidRPr="00116AF4">
                    <w:rPr>
                      <w:rFonts w:ascii="Arial" w:eastAsia="Times New Roman" w:hAnsi="Arial" w:cs="Arial"/>
                      <w:szCs w:val="24"/>
                    </w:rPr>
                    <w:t>advice but require</w:t>
                  </w:r>
                  <w:proofErr w:type="gramEnd"/>
                  <w:r w:rsidRPr="00116AF4">
                    <w:rPr>
                      <w:rFonts w:ascii="Arial" w:eastAsia="Times New Roman" w:hAnsi="Arial" w:cs="Arial"/>
                      <w:szCs w:val="24"/>
                    </w:rPr>
                    <w:t xml:space="preserve"> a provider to use them effectively and consistently. Marie Stopes International (MSI) </w:t>
                  </w:r>
                  <w:proofErr w:type="gramStart"/>
                  <w:r w:rsidRPr="00116AF4">
                    <w:rPr>
                      <w:rFonts w:ascii="Arial" w:eastAsia="Times New Roman" w:hAnsi="Arial" w:cs="Arial"/>
                      <w:szCs w:val="24"/>
                    </w:rPr>
                    <w:t>have</w:t>
                  </w:r>
                  <w:proofErr w:type="gramEnd"/>
                  <w:r w:rsidRPr="00116AF4">
                    <w:rPr>
                      <w:rFonts w:ascii="Arial" w:eastAsia="Times New Roman" w:hAnsi="Arial" w:cs="Arial"/>
                      <w:szCs w:val="24"/>
                    </w:rPr>
                    <w:t xml:space="preserve"> designed the tablet-computer based Digital Counselling Application (DCA), which prompts structured, supportive, client-specific and unbiased FP counselling. We </w:t>
                  </w:r>
                  <w:proofErr w:type="spellStart"/>
                  <w:r w:rsidRPr="00116AF4">
                    <w:rPr>
                      <w:rFonts w:ascii="Arial" w:eastAsia="Times New Roman" w:hAnsi="Arial" w:cs="Arial"/>
                      <w:szCs w:val="24"/>
                    </w:rPr>
                    <w:t>hypothesise</w:t>
                  </w:r>
                  <w:proofErr w:type="spellEnd"/>
                  <w:r w:rsidRPr="00116AF4">
                    <w:rPr>
                      <w:rFonts w:ascii="Arial" w:eastAsia="Times New Roman" w:hAnsi="Arial" w:cs="Arial"/>
                      <w:szCs w:val="24"/>
                    </w:rPr>
                    <w:t xml:space="preserve"> that a systematic exploration of clients’ fertility intentions, medical eligibility and preferences will increase their uptake of long acting and permanent methods of contraception (LAPMs).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68" w:name="m_2775912902713410657__Toc522026514"/>
                  <w:r w:rsidRPr="00116AF4">
                    <w:rPr>
                      <w:rFonts w:ascii="Calibri" w:eastAsia="Times New Roman" w:hAnsi="Calibri" w:cs="Calibri"/>
                      <w:b/>
                      <w:bCs/>
                      <w:color w:val="800000"/>
                      <w:sz w:val="22"/>
                    </w:rPr>
                    <w:t>"Three Nooses on Our Head": The Influence of District Health Reforms on Maternal Health Service Delivery in Vietnam.</w:t>
                  </w:r>
                  <w:bookmarkEnd w:id="68"/>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Nguyen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Hoai</w:t>
                  </w:r>
                  <w:proofErr w:type="spellEnd"/>
                  <w:r w:rsidRPr="00116AF4">
                    <w:rPr>
                      <w:rFonts w:ascii="Arial" w:eastAsia="Times New Roman" w:hAnsi="Arial" w:cs="Arial"/>
                      <w:szCs w:val="24"/>
                    </w:rPr>
                    <w:t xml:space="preserve"> Thu, Fiona McDonald, Sophie Witter and Andrew Wilson. </w:t>
                  </w:r>
                  <w:proofErr w:type="spellStart"/>
                  <w:r w:rsidRPr="00116AF4">
                    <w:rPr>
                      <w:rFonts w:ascii="Arial" w:eastAsia="Times New Roman" w:hAnsi="Arial" w:cs="Arial"/>
                      <w:szCs w:val="24"/>
                    </w:rPr>
                    <w:t>Int</w:t>
                  </w:r>
                  <w:proofErr w:type="spellEnd"/>
                  <w:r w:rsidRPr="00116AF4">
                    <w:rPr>
                      <w:rFonts w:ascii="Arial" w:eastAsia="Times New Roman" w:hAnsi="Arial" w:cs="Arial"/>
                      <w:szCs w:val="24"/>
                    </w:rPr>
                    <w:t xml:space="preserve"> J Health Policy </w:t>
                  </w:r>
                  <w:proofErr w:type="spellStart"/>
                  <w:r w:rsidRPr="00116AF4">
                    <w:rPr>
                      <w:rFonts w:ascii="Arial" w:eastAsia="Times New Roman" w:hAnsi="Arial" w:cs="Arial"/>
                      <w:szCs w:val="24"/>
                    </w:rPr>
                    <w:t>Manag</w:t>
                  </w:r>
                  <w:proofErr w:type="spellEnd"/>
                  <w:r w:rsidRPr="00116AF4">
                    <w:rPr>
                      <w:rFonts w:ascii="Arial" w:eastAsia="Times New Roman" w:hAnsi="Arial" w:cs="Arial"/>
                      <w:szCs w:val="24"/>
                    </w:rPr>
                    <w:t>, 2017, volume 7, number 7, pp. 593-602.</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2" w:tgtFrame="_blank" w:history="1">
                    <w:r w:rsidRPr="00116AF4">
                      <w:rPr>
                        <w:rFonts w:ascii="Arial" w:eastAsia="Times New Roman" w:hAnsi="Arial" w:cs="Arial"/>
                        <w:color w:val="1155CC"/>
                        <w:szCs w:val="24"/>
                        <w:u w:val="single"/>
                      </w:rPr>
                      <w:t>https://www.ncbi.nlm.nih.gov/pmc/articles/PMC6037493/</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BACKGROUND: The impact of </w:t>
                  </w:r>
                  <w:proofErr w:type="spellStart"/>
                  <w:r w:rsidRPr="00116AF4">
                    <w:rPr>
                      <w:rFonts w:ascii="Arial" w:eastAsia="Times New Roman" w:hAnsi="Arial" w:cs="Arial"/>
                      <w:szCs w:val="24"/>
                    </w:rPr>
                    <w:t>reorganisation</w:t>
                  </w:r>
                  <w:proofErr w:type="spellEnd"/>
                  <w:r w:rsidRPr="00116AF4">
                    <w:rPr>
                      <w:rFonts w:ascii="Arial" w:eastAsia="Times New Roman" w:hAnsi="Arial" w:cs="Arial"/>
                      <w:szCs w:val="24"/>
                    </w:rPr>
                    <w:t xml:space="preserve"> on health services delivery is a recurring issue in every healthcare system. In 2005 Vietnam </w:t>
                  </w:r>
                  <w:proofErr w:type="spellStart"/>
                  <w:r w:rsidRPr="00116AF4">
                    <w:rPr>
                      <w:rFonts w:ascii="Arial" w:eastAsia="Times New Roman" w:hAnsi="Arial" w:cs="Arial"/>
                      <w:szCs w:val="24"/>
                    </w:rPr>
                    <w:t>reorganised</w:t>
                  </w:r>
                  <w:proofErr w:type="spellEnd"/>
                  <w:r w:rsidRPr="00116AF4">
                    <w:rPr>
                      <w:rFonts w:ascii="Arial" w:eastAsia="Times New Roman" w:hAnsi="Arial" w:cs="Arial"/>
                      <w:szCs w:val="24"/>
                    </w:rPr>
                    <w:t xml:space="preserve"> the delivery of health services at the district level by splitting preventive, curative, and administrative roles. This qualitative study explored how these reforms impacted on the </w:t>
                  </w:r>
                  <w:proofErr w:type="spellStart"/>
                  <w:r w:rsidRPr="00116AF4">
                    <w:rPr>
                      <w:rFonts w:ascii="Arial" w:eastAsia="Times New Roman" w:hAnsi="Arial" w:cs="Arial"/>
                      <w:szCs w:val="24"/>
                    </w:rPr>
                    <w:t>organisation</w:t>
                  </w:r>
                  <w:proofErr w:type="spellEnd"/>
                  <w:r w:rsidRPr="00116AF4">
                    <w:rPr>
                      <w:rFonts w:ascii="Arial" w:eastAsia="Times New Roman" w:hAnsi="Arial" w:cs="Arial"/>
                      <w:szCs w:val="24"/>
                    </w:rPr>
                    <w:t xml:space="preserve"> of maternal health service delivery at district and commune levels. METHODS: Forty-three semi-structured interviews were conducted with health staff and managers involved in the provision of maternal health services from the commune to the central level within five districts of two Northern provinces in Vietnam. The data were </w:t>
                  </w:r>
                  <w:proofErr w:type="spellStart"/>
                  <w:r w:rsidRPr="00116AF4">
                    <w:rPr>
                      <w:rFonts w:ascii="Arial" w:eastAsia="Times New Roman" w:hAnsi="Arial" w:cs="Arial"/>
                      <w:szCs w:val="24"/>
                    </w:rPr>
                    <w:t>analysed</w:t>
                  </w:r>
                  <w:proofErr w:type="spellEnd"/>
                  <w:r w:rsidRPr="00116AF4">
                    <w:rPr>
                      <w:rFonts w:ascii="Arial" w:eastAsia="Times New Roman" w:hAnsi="Arial" w:cs="Arial"/>
                      <w:szCs w:val="24"/>
                    </w:rPr>
                    <w:t xml:space="preserve"> thematically. RESULTS: The results showed that 10 years after the reforms created three district-level </w:t>
                  </w:r>
                  <w:proofErr w:type="gramStart"/>
                  <w:r w:rsidRPr="00116AF4">
                    <w:rPr>
                      <w:rFonts w:ascii="Arial" w:eastAsia="Times New Roman" w:hAnsi="Arial" w:cs="Arial"/>
                      <w:szCs w:val="24"/>
                    </w:rPr>
                    <w:t>entities,</w:t>
                  </w:r>
                  <w:proofErr w:type="gramEnd"/>
                  <w:r w:rsidRPr="00116AF4">
                    <w:rPr>
                      <w:rFonts w:ascii="Arial" w:eastAsia="Times New Roman" w:hAnsi="Arial" w:cs="Arial"/>
                      <w:szCs w:val="24"/>
                    </w:rPr>
                    <w:t xml:space="preserve"> participants reported </w:t>
                  </w:r>
                  <w:r w:rsidRPr="00116AF4">
                    <w:rPr>
                      <w:rFonts w:ascii="Arial" w:eastAsia="Times New Roman" w:hAnsi="Arial" w:cs="Arial"/>
                      <w:szCs w:val="24"/>
                    </w:rPr>
                    <w:lastRenderedPageBreak/>
                    <w:t xml:space="preserve">difficulties in management of health services at the district and commune levels in Vietnam. The reforms were largely perceived to negatively affect the efficient and effective use of clinical and other resources. At the commune level, the reforms are said to have affected the quality of supervision of the communes and their staff and increased the workload in community health </w:t>
                  </w:r>
                  <w:proofErr w:type="spellStart"/>
                  <w:r w:rsidRPr="00116AF4">
                    <w:rPr>
                      <w:rFonts w:ascii="Arial" w:eastAsia="Times New Roman" w:hAnsi="Arial" w:cs="Arial"/>
                      <w:szCs w:val="24"/>
                    </w:rPr>
                    <w:t>centres</w:t>
                  </w:r>
                  <w:proofErr w:type="spellEnd"/>
                  <w:r w:rsidRPr="00116AF4">
                    <w:rPr>
                      <w:rFonts w:ascii="Arial" w:eastAsia="Times New Roman" w:hAnsi="Arial" w:cs="Arial"/>
                      <w:szCs w:val="24"/>
                    </w:rPr>
                    <w:t xml:space="preserve">. CONCLUSION: The findings from this study suggest that the current </w:t>
                  </w:r>
                  <w:proofErr w:type="spellStart"/>
                  <w:r w:rsidRPr="00116AF4">
                    <w:rPr>
                      <w:rFonts w:ascii="Arial" w:eastAsia="Times New Roman" w:hAnsi="Arial" w:cs="Arial"/>
                      <w:szCs w:val="24"/>
                    </w:rPr>
                    <w:t>organisation</w:t>
                  </w:r>
                  <w:proofErr w:type="spellEnd"/>
                  <w:r w:rsidRPr="00116AF4">
                    <w:rPr>
                      <w:rFonts w:ascii="Arial" w:eastAsia="Times New Roman" w:hAnsi="Arial" w:cs="Arial"/>
                      <w:szCs w:val="24"/>
                    </w:rPr>
                    <w:t xml:space="preserve"> of district health services in Vietnam may have had unintended negative consequences. It also indicates that countries which decide to reform their systems in a manner similar to Vietnam need to pay attention to coordination between a </w:t>
                  </w:r>
                  <w:proofErr w:type="gramStart"/>
                  <w:r w:rsidRPr="00116AF4">
                    <w:rPr>
                      <w:rFonts w:ascii="Arial" w:eastAsia="Times New Roman" w:hAnsi="Arial" w:cs="Arial"/>
                      <w:szCs w:val="24"/>
                    </w:rPr>
                    <w:t>multiplicity</w:t>
                  </w:r>
                  <w:proofErr w:type="gramEnd"/>
                  <w:r w:rsidRPr="00116AF4">
                    <w:rPr>
                      <w:rFonts w:ascii="Arial" w:eastAsia="Times New Roman" w:hAnsi="Arial" w:cs="Arial"/>
                      <w:szCs w:val="24"/>
                    </w:rPr>
                    <w:t xml:space="preserve"> of agencies at the district level.</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53"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69" w:name="m_2775912902713410657__Toc522026515"/>
                  <w:r w:rsidRPr="00116AF4">
                    <w:rPr>
                      <w:rFonts w:ascii="Arial" w:eastAsia="Times New Roman" w:hAnsi="Arial" w:cs="Arial"/>
                      <w:b/>
                      <w:bCs/>
                      <w:color w:val="FFFFFF"/>
                      <w:kern w:val="36"/>
                      <w:sz w:val="48"/>
                      <w:szCs w:val="48"/>
                    </w:rPr>
                    <w:t>ENERGY</w:t>
                  </w:r>
                  <w:bookmarkEnd w:id="69"/>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70" w:name="m_2775912902713410657__Toc522026516"/>
                  <w:r w:rsidRPr="00116AF4">
                    <w:rPr>
                      <w:rFonts w:ascii="Calibri" w:eastAsia="Times New Roman" w:hAnsi="Calibri" w:cs="Calibri"/>
                      <w:b/>
                      <w:bCs/>
                      <w:color w:val="800000"/>
                      <w:sz w:val="22"/>
                    </w:rPr>
                    <w:t>Analysis of future generation capacity scenarios for Vietnam.</w:t>
                  </w:r>
                  <w:bookmarkEnd w:id="70"/>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Nguyen Quoc </w:t>
                  </w:r>
                  <w:proofErr w:type="spellStart"/>
                  <w:r w:rsidRPr="00116AF4">
                    <w:rPr>
                      <w:rFonts w:ascii="Arial" w:eastAsia="Times New Roman" w:hAnsi="Arial" w:cs="Arial"/>
                      <w:szCs w:val="24"/>
                    </w:rPr>
                    <w:t>Khanh</w:t>
                  </w:r>
                  <w:proofErr w:type="spellEnd"/>
                  <w:r w:rsidRPr="00116AF4">
                    <w:rPr>
                      <w:rFonts w:ascii="Arial" w:eastAsia="Times New Roman" w:hAnsi="Arial" w:cs="Arial"/>
                      <w:szCs w:val="24"/>
                    </w:rPr>
                    <w:t>. Green Innovation and Development Centre (</w:t>
                  </w:r>
                  <w:proofErr w:type="spellStart"/>
                  <w:r w:rsidRPr="00116AF4">
                    <w:rPr>
                      <w:rFonts w:ascii="Arial" w:eastAsia="Times New Roman" w:hAnsi="Arial" w:cs="Arial"/>
                      <w:szCs w:val="24"/>
                    </w:rPr>
                    <w:t>GreenID</w:t>
                  </w:r>
                  <w:proofErr w:type="spellEnd"/>
                  <w:r w:rsidRPr="00116AF4">
                    <w:rPr>
                      <w:rFonts w:ascii="Arial" w:eastAsia="Times New Roman" w:hAnsi="Arial" w:cs="Arial"/>
                      <w:szCs w:val="24"/>
                    </w:rPr>
                    <w:t>), 2017.</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4" w:tgtFrame="_blank" w:history="1">
                    <w:r w:rsidRPr="00116AF4">
                      <w:rPr>
                        <w:rFonts w:ascii="Arial" w:eastAsia="Times New Roman" w:hAnsi="Arial" w:cs="Arial"/>
                        <w:color w:val="1155CC"/>
                        <w:szCs w:val="24"/>
                        <w:u w:val="single"/>
                      </w:rPr>
                      <w:t>http://en.greenidvietnam.org.vn/app/webroot/upload/admin/files/060618_GreenID_Study%20on%20future%20power%20sources.pdf</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Vietnamese government will be developing the country’s next power development plan (PDP VIII) in 2019. This presents an enormous opportunity for reducing air pollution and putting the country on an energy path in line with the Paris Agreement. An alternative pathway to one reliant on highly polluting coal power is achievable and affordable. --- </w:t>
                  </w:r>
                  <w:proofErr w:type="spellStart"/>
                  <w:r w:rsidRPr="00116AF4">
                    <w:rPr>
                      <w:rFonts w:ascii="Arial" w:eastAsia="Times New Roman" w:hAnsi="Arial" w:cs="Arial"/>
                      <w:szCs w:val="24"/>
                    </w:rPr>
                    <w:t>GreenID</w:t>
                  </w:r>
                  <w:proofErr w:type="spellEnd"/>
                  <w:r w:rsidRPr="00116AF4">
                    <w:rPr>
                      <w:rFonts w:ascii="Arial" w:eastAsia="Times New Roman" w:hAnsi="Arial" w:cs="Arial"/>
                      <w:szCs w:val="24"/>
                    </w:rPr>
                    <w:t xml:space="preserve"> and the Vietnam Sustainable Energy Alliance commissioned well-known energy expert Nguyen Quoc </w:t>
                  </w:r>
                  <w:proofErr w:type="spellStart"/>
                  <w:r w:rsidRPr="00116AF4">
                    <w:rPr>
                      <w:rFonts w:ascii="Arial" w:eastAsia="Times New Roman" w:hAnsi="Arial" w:cs="Arial"/>
                      <w:szCs w:val="24"/>
                    </w:rPr>
                    <w:t>Khanh</w:t>
                  </w:r>
                  <w:proofErr w:type="spellEnd"/>
                  <w:r w:rsidRPr="00116AF4">
                    <w:rPr>
                      <w:rFonts w:ascii="Arial" w:eastAsia="Times New Roman" w:hAnsi="Arial" w:cs="Arial"/>
                      <w:szCs w:val="24"/>
                    </w:rPr>
                    <w:t xml:space="preserve"> to </w:t>
                  </w:r>
                  <w:proofErr w:type="spellStart"/>
                  <w:r w:rsidRPr="00116AF4">
                    <w:rPr>
                      <w:rFonts w:ascii="Arial" w:eastAsia="Times New Roman" w:hAnsi="Arial" w:cs="Arial"/>
                      <w:szCs w:val="24"/>
                    </w:rPr>
                    <w:t>analyse</w:t>
                  </w:r>
                  <w:proofErr w:type="spellEnd"/>
                  <w:r w:rsidRPr="00116AF4">
                    <w:rPr>
                      <w:rFonts w:ascii="Arial" w:eastAsia="Times New Roman" w:hAnsi="Arial" w:cs="Arial"/>
                      <w:szCs w:val="24"/>
                    </w:rPr>
                    <w:t xml:space="preserve"> the potential for meeting Vietnam’s growing energy needs in a least cost manner which also takes into account external costs and carbon emission. --- The study shows that coal power in Vietnam will peak in 2020. That means after 2020 Vietnam could avoid building any new coal plants, while maintaining a safe, affordable and secure energy system. Cutting 30,000 MW of coal power and prioritizing energy efficiency, as well as increasing the share of renewable energy and natural gas is the most affordable way of meeting Vietnam’s future energy needs and sustainable development.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71" w:name="m_2775912902713410657__Toc522026517"/>
                  <w:r w:rsidRPr="00116AF4">
                    <w:rPr>
                      <w:rFonts w:ascii="Calibri" w:eastAsia="Times New Roman" w:hAnsi="Calibri" w:cs="Calibri"/>
                      <w:b/>
                      <w:bCs/>
                      <w:color w:val="800000"/>
                      <w:sz w:val="22"/>
                    </w:rPr>
                    <w:t>Green transformations in Vietnam's energy sector.</w:t>
                  </w:r>
                  <w:bookmarkEnd w:id="71"/>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szCs w:val="24"/>
                    </w:rPr>
                    <w:lastRenderedPageBreak/>
                    <w:t>Frauke</w:t>
                  </w:r>
                  <w:proofErr w:type="spellEnd"/>
                  <w:r w:rsidRPr="00116AF4">
                    <w:rPr>
                      <w:rFonts w:ascii="Arial" w:eastAsia="Times New Roman" w:hAnsi="Arial" w:cs="Arial"/>
                      <w:szCs w:val="24"/>
                    </w:rPr>
                    <w:t xml:space="preserve"> Urban, Giuseppina </w:t>
                  </w:r>
                  <w:proofErr w:type="spellStart"/>
                  <w:r w:rsidRPr="00116AF4">
                    <w:rPr>
                      <w:rFonts w:ascii="Arial" w:eastAsia="Times New Roman" w:hAnsi="Arial" w:cs="Arial"/>
                      <w:szCs w:val="24"/>
                    </w:rPr>
                    <w:t>Siciliano</w:t>
                  </w:r>
                  <w:proofErr w:type="spellEnd"/>
                  <w:r w:rsidRPr="00116AF4">
                    <w:rPr>
                      <w:rFonts w:ascii="Arial" w:eastAsia="Times New Roman" w:hAnsi="Arial" w:cs="Arial"/>
                      <w:szCs w:val="24"/>
                    </w:rPr>
                    <w:t xml:space="preserve">, Linda </w:t>
                  </w:r>
                  <w:proofErr w:type="spellStart"/>
                  <w:r w:rsidRPr="00116AF4">
                    <w:rPr>
                      <w:rFonts w:ascii="Arial" w:eastAsia="Times New Roman" w:hAnsi="Arial" w:cs="Arial"/>
                      <w:szCs w:val="24"/>
                    </w:rPr>
                    <w:t>Wallbott</w:t>
                  </w:r>
                  <w:proofErr w:type="spellEnd"/>
                  <w:r w:rsidRPr="00116AF4">
                    <w:rPr>
                      <w:rFonts w:ascii="Arial" w:eastAsia="Times New Roman" w:hAnsi="Arial" w:cs="Arial"/>
                      <w:szCs w:val="24"/>
                    </w:rPr>
                    <w:t xml:space="preserve">, Markus </w:t>
                  </w:r>
                  <w:proofErr w:type="spellStart"/>
                  <w:r w:rsidRPr="00116AF4">
                    <w:rPr>
                      <w:rFonts w:ascii="Arial" w:eastAsia="Times New Roman" w:hAnsi="Arial" w:cs="Arial"/>
                      <w:szCs w:val="24"/>
                    </w:rPr>
                    <w:t>Lederer</w:t>
                  </w:r>
                  <w:proofErr w:type="spellEnd"/>
                  <w:r w:rsidRPr="00116AF4">
                    <w:rPr>
                      <w:rFonts w:ascii="Arial" w:eastAsia="Times New Roman" w:hAnsi="Arial" w:cs="Arial"/>
                      <w:szCs w:val="24"/>
                    </w:rPr>
                    <w:t xml:space="preserve"> and Anh Dang Nguyen. Asia &amp; the Pacific Policy Studies,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5" w:tgtFrame="_blank" w:history="1">
                    <w:r w:rsidRPr="00116AF4">
                      <w:rPr>
                        <w:rFonts w:ascii="Arial" w:eastAsia="Times New Roman" w:hAnsi="Arial" w:cs="Arial"/>
                        <w:color w:val="1155CC"/>
                        <w:szCs w:val="24"/>
                        <w:u w:val="single"/>
                      </w:rPr>
                      <w:t>https://onlinelibrary.wiley.com/doi/abs/10.1002/app5.251</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Vietnam has experienced rapid economic growth over the past few decades, as well as growing environmental pressures. The country is therefore pursuing strategies for green transformations, which are the processes of restructuring to bring economies and societies within the planetary boundaries. This article addresses the opportunities, barriers, and trade-offs for green transformations in Vietnam's energy sector and examines them from an energy justice perspective. The article draws on in-depths expert interviews with representatives from government agencies, private firms, academic institutions, and multilateral institutions in Vietnam. The article finds that Vietnam is undergoing efforts to move away from business as usual by promoting renewable energy and energy efficiency, as well as aligning energy and climate plans with national development priorities such as energy security and economic growth. Yet there is a need for more coordinated, integrated approaches and policies that span across the 3 areas that address green transformations in Vietnam: green growth, sustainable development, and climate change. Finally, although key actors seem to be aware and may be critical of major trade-offs such as land grabs for energy projects, the impacts on affected people need to be better understood and mitigated. [Urban-etal-2018.pdf].</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72" w:name="m_2775912902713410657__Toc522026518"/>
                  <w:r w:rsidRPr="00116AF4">
                    <w:rPr>
                      <w:rFonts w:ascii="Calibri" w:eastAsia="Times New Roman" w:hAnsi="Calibri" w:cs="Calibri"/>
                      <w:b/>
                      <w:bCs/>
                      <w:color w:val="800000"/>
                      <w:sz w:val="22"/>
                    </w:rPr>
                    <w:t>Sustainability of biogas and cassava-based ethanol value chains in Viet Nam: results and recommendations from the implementation of the Global Bioenergy Partnership indicators.</w:t>
                  </w:r>
                  <w:bookmarkEnd w:id="72"/>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T. Pirelli, A. Rossi and C. Miller. FAO Environment and Natural Resources Management Working Paper, 2018, number No.69, p. xx + 267 pp.</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6" w:tgtFrame="_blank" w:history="1">
                    <w:r w:rsidRPr="00116AF4">
                      <w:rPr>
                        <w:rFonts w:ascii="Arial" w:eastAsia="Times New Roman" w:hAnsi="Arial" w:cs="Arial"/>
                        <w:color w:val="1155CC"/>
                        <w:szCs w:val="24"/>
                        <w:u w:val="single"/>
                      </w:rPr>
                      <w:t>http://www.fao.org/3/i9181en/I9181EN.pdf</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The Global Bioenergy Partnership (GBEP) has produced a set of twenty-four indicators for the assessment and monitoring of bioenergy sustainability at the national level. The GBEP indicators are intended to inform policymakers about the environmental, social and economic sustainability aspects of the bioenergy sector in their country and guide them towards policies that foster sustainable development. FAO, which is among the founding members of GBEP, implemented the indicators in Viet Nam, under the leadership of the Vietnam Academy of Agricultural Sciences (VAAS), on behalf of the Ministry of Agriculture and Rural Development (MARD). </w:t>
                  </w:r>
                  <w:r w:rsidRPr="00116AF4">
                    <w:rPr>
                      <w:rFonts w:ascii="Arial" w:eastAsia="Times New Roman" w:hAnsi="Arial" w:cs="Arial"/>
                      <w:szCs w:val="24"/>
                    </w:rPr>
                    <w:lastRenderedPageBreak/>
                    <w:t>This report presents the results of the implementation of the GBEP indicators to two key bioenergy pathways in Viet Nam: cassava-based ethanol and biogas at household, farm and industrial levels. The environmental, social and economic impacts of these two pathways are discussed, and recommendations are provided on how to improve their sustainability, efficiency and competitiveness. This work provided Viet Nam with an understanding of how to establish the means of a long-term, periodic monitoring of its domestic bioenergy sector based on the GBEP indicators. Such periodic monitoring would enhance the knowledge and understanding of this sector and more generally of the way in which the contribution of the agricultural and energy sectors to national sustainable development could be evaluated. The implementation of the GBEP indicators in Viet Nam also provided a series of lessons learnt about how to apply them as a tool for sustainable development and how to enhance their practicality.</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57"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73" w:name="m_2775912902713410657__Toc522026519"/>
                  <w:r w:rsidRPr="00116AF4">
                    <w:rPr>
                      <w:rFonts w:ascii="Arial" w:eastAsia="Times New Roman" w:hAnsi="Arial" w:cs="Arial"/>
                      <w:b/>
                      <w:bCs/>
                      <w:color w:val="FFFFFF"/>
                      <w:kern w:val="36"/>
                      <w:sz w:val="48"/>
                      <w:szCs w:val="48"/>
                    </w:rPr>
                    <w:t>LABOR</w:t>
                  </w:r>
                  <w:bookmarkEnd w:id="73"/>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74" w:name="m_2775912902713410657__Toc522026520"/>
                  <w:r w:rsidRPr="00116AF4">
                    <w:rPr>
                      <w:rFonts w:ascii="Calibri" w:eastAsia="Times New Roman" w:hAnsi="Calibri" w:cs="Calibri"/>
                      <w:b/>
                      <w:bCs/>
                      <w:color w:val="800000"/>
                      <w:sz w:val="22"/>
                    </w:rPr>
                    <w:t>Does union membership pay off? Evidence from Vietnamese SMEs.</w:t>
                  </w:r>
                  <w:bookmarkEnd w:id="74"/>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Nina </w:t>
                  </w:r>
                  <w:proofErr w:type="spellStart"/>
                  <w:r w:rsidRPr="00116AF4">
                    <w:rPr>
                      <w:rFonts w:ascii="Arial" w:eastAsia="Times New Roman" w:hAnsi="Arial" w:cs="Arial"/>
                      <w:szCs w:val="24"/>
                    </w:rPr>
                    <w:t>Torm</w:t>
                  </w:r>
                  <w:proofErr w:type="spellEnd"/>
                  <w:r w:rsidRPr="00116AF4">
                    <w:rPr>
                      <w:rFonts w:ascii="Arial" w:eastAsia="Times New Roman" w:hAnsi="Arial" w:cs="Arial"/>
                      <w:szCs w:val="24"/>
                    </w:rPr>
                    <w:t>. UNU-WIDER Working Paper 71/2018,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8" w:tgtFrame="_blank" w:history="1">
                    <w:r w:rsidRPr="00116AF4">
                      <w:rPr>
                        <w:rFonts w:ascii="Arial" w:eastAsia="Times New Roman" w:hAnsi="Arial" w:cs="Arial"/>
                        <w:color w:val="1155CC"/>
                        <w:szCs w:val="24"/>
                        <w:u w:val="single"/>
                      </w:rPr>
                      <w:t>https://www.wider.unu.edu/publication/does-union-membership-pay</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Abstract: In the absence of adequate institutional mechanisms, trade unions can potentially promote higher wages and other worker benefits, yet limited data availability means little is known about the effect unions have on individual earnings in developing economies. Using matched employer–employee data from 2013 and 2015 surveys, this paper examines the union wage premium among Vietnamese small and medium-sized enterprises. Controlling for firm and worker characteristics, the results show that unionized workers’ wages are 9–22 per cent higher than those of non-union workers. The wage gain is substantially larger at the upper end of the wage distribution.</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75" w:name="m_2775912902713410657__Toc522026521"/>
                  <w:r w:rsidRPr="00116AF4">
                    <w:rPr>
                      <w:rFonts w:ascii="Calibri" w:eastAsia="Times New Roman" w:hAnsi="Calibri" w:cs="Calibri"/>
                      <w:b/>
                      <w:bCs/>
                      <w:color w:val="800000"/>
                      <w:sz w:val="22"/>
                    </w:rPr>
                    <w:t>Pecuniary returns to working conditions in Viet Nam.</w:t>
                  </w:r>
                  <w:bookmarkEnd w:id="75"/>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Christophe J. </w:t>
                  </w:r>
                  <w:proofErr w:type="spellStart"/>
                  <w:r w:rsidRPr="00116AF4">
                    <w:rPr>
                      <w:rFonts w:ascii="Arial" w:eastAsia="Times New Roman" w:hAnsi="Arial" w:cs="Arial"/>
                      <w:szCs w:val="24"/>
                    </w:rPr>
                    <w:t>Nordman</w:t>
                  </w:r>
                  <w:proofErr w:type="spellEnd"/>
                  <w:r w:rsidRPr="00116AF4">
                    <w:rPr>
                      <w:rFonts w:ascii="Arial" w:eastAsia="Times New Roman" w:hAnsi="Arial" w:cs="Arial"/>
                      <w:szCs w:val="24"/>
                    </w:rPr>
                    <w:t xml:space="preserve"> and </w:t>
                  </w:r>
                  <w:proofErr w:type="spellStart"/>
                  <w:r w:rsidRPr="00116AF4">
                    <w:rPr>
                      <w:rFonts w:ascii="Arial" w:eastAsia="Times New Roman" w:hAnsi="Arial" w:cs="Arial"/>
                      <w:szCs w:val="24"/>
                    </w:rPr>
                    <w:t>Smriti</w:t>
                  </w:r>
                  <w:proofErr w:type="spellEnd"/>
                  <w:r w:rsidRPr="00116AF4">
                    <w:rPr>
                      <w:rFonts w:ascii="Arial" w:eastAsia="Times New Roman" w:hAnsi="Arial" w:cs="Arial"/>
                      <w:szCs w:val="24"/>
                    </w:rPr>
                    <w:t xml:space="preserve"> Sharma. UNU-WIDER Working Paper 72/2018, </w:t>
                  </w:r>
                  <w:r w:rsidRPr="00116AF4">
                    <w:rPr>
                      <w:rFonts w:ascii="Arial" w:eastAsia="Times New Roman" w:hAnsi="Arial" w:cs="Arial"/>
                      <w:szCs w:val="24"/>
                    </w:rPr>
                    <w:lastRenderedPageBreak/>
                    <w:t>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Free full text </w:t>
                  </w:r>
                  <w:hyperlink r:id="rId59" w:tgtFrame="_blank" w:history="1">
                    <w:r w:rsidRPr="00116AF4">
                      <w:rPr>
                        <w:rFonts w:ascii="Arial" w:eastAsia="Times New Roman" w:hAnsi="Arial" w:cs="Arial"/>
                        <w:color w:val="1155CC"/>
                        <w:szCs w:val="24"/>
                        <w:u w:val="single"/>
                      </w:rPr>
                      <w:t>https://www.wider.unu.edu/publication/pecuniary-returns-working-conditions-viet-nam</w:t>
                    </w:r>
                  </w:hyperlink>
                  <w:r w:rsidRPr="00116AF4">
                    <w:rPr>
                      <w:rFonts w:ascii="Arial" w:eastAsia="Times New Roman" w:hAnsi="Arial" w:cs="Arial"/>
                      <w:szCs w:val="24"/>
                    </w:rPr>
                    <w:t>.</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Using matched worker-firm data from three waves of the Viet Nam Small and Medium Enterprises data, we examine whether workers are compensated with higher wages for working in vulnerable jobs and </w:t>
                  </w:r>
                  <w:proofErr w:type="spellStart"/>
                  <w:r w:rsidRPr="00116AF4">
                    <w:rPr>
                      <w:rFonts w:ascii="Arial" w:eastAsia="Times New Roman" w:hAnsi="Arial" w:cs="Arial"/>
                      <w:szCs w:val="24"/>
                    </w:rPr>
                    <w:t>unfavourable</w:t>
                  </w:r>
                  <w:proofErr w:type="spellEnd"/>
                  <w:r w:rsidRPr="00116AF4">
                    <w:rPr>
                      <w:rFonts w:ascii="Arial" w:eastAsia="Times New Roman" w:hAnsi="Arial" w:cs="Arial"/>
                      <w:szCs w:val="24"/>
                    </w:rPr>
                    <w:t xml:space="preserve"> working conditions. Wage equations indicate that there are no clear compensating mechanisms for working in poor conditions, for having an informal contract, and for having few financial benefits. Quantile regressions show that workers in the upper tail of the wage distribution are more likely to be penalized for working in adverse conditions. Employees recruited through official hiring channels with an informal contract earn less than employees hired through social networks. Upon estimating mean decompositions of wage gaps based on working conditions, we find that the gap is almost entirely explained by the conjunction of worker, job and firm characteristics in 2015, in contrast to the previous survey year of 2013.</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hyperlink r:id="rId60" w:anchor="m_2775912902713410657__top" w:history="1">
                    <w:hyperlink w:anchor="_top" w:history="1">
                      <w:r w:rsidR="00977307" w:rsidRPr="00116AF4">
                        <w:rPr>
                          <w:rFonts w:ascii="Arial" w:eastAsia="Times New Roman" w:hAnsi="Arial" w:cs="Arial"/>
                          <w:color w:val="1155CC"/>
                          <w:szCs w:val="24"/>
                          <w:u w:val="single"/>
                        </w:rPr>
                        <w:t>Back to top</w:t>
                      </w:r>
                    </w:hyperlink>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hd w:val="clear" w:color="auto" w:fill="2F5496"/>
                    <w:spacing w:after="100" w:afterAutospacing="1" w:line="240" w:lineRule="auto"/>
                    <w:outlineLvl w:val="0"/>
                    <w:rPr>
                      <w:rFonts w:ascii="Arial" w:eastAsia="Times New Roman" w:hAnsi="Arial" w:cs="Arial"/>
                      <w:b/>
                      <w:bCs/>
                      <w:kern w:val="36"/>
                      <w:sz w:val="48"/>
                      <w:szCs w:val="48"/>
                    </w:rPr>
                  </w:pPr>
                  <w:bookmarkStart w:id="76" w:name="m_2775912902713410657__Toc522026522"/>
                  <w:r w:rsidRPr="00116AF4">
                    <w:rPr>
                      <w:rFonts w:ascii="Arial" w:eastAsia="Times New Roman" w:hAnsi="Arial" w:cs="Arial"/>
                      <w:b/>
                      <w:bCs/>
                      <w:color w:val="FFFFFF"/>
                      <w:kern w:val="36"/>
                      <w:sz w:val="48"/>
                      <w:szCs w:val="48"/>
                    </w:rPr>
                    <w:t>SOCIAL DEVELOPMENT</w:t>
                  </w:r>
                  <w:bookmarkEnd w:id="76"/>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77" w:name="m_2775912902713410657__Toc522026523"/>
                  <w:r w:rsidRPr="00116AF4">
                    <w:rPr>
                      <w:rFonts w:ascii="Calibri" w:eastAsia="Times New Roman" w:hAnsi="Calibri" w:cs="Calibri"/>
                      <w:b/>
                      <w:bCs/>
                      <w:color w:val="800000"/>
                      <w:sz w:val="22"/>
                    </w:rPr>
                    <w:t>The effect of various income sources on income inequality: a comparison across ethnic groups in Vietnam.</w:t>
                  </w:r>
                  <w:bookmarkEnd w:id="77"/>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Hien Nguyen, </w:t>
                  </w:r>
                  <w:proofErr w:type="spellStart"/>
                  <w:r w:rsidRPr="00116AF4">
                    <w:rPr>
                      <w:rFonts w:ascii="Arial" w:eastAsia="Times New Roman" w:hAnsi="Arial" w:cs="Arial"/>
                      <w:szCs w:val="24"/>
                    </w:rPr>
                    <w:t>Tinh</w:t>
                  </w:r>
                  <w:proofErr w:type="spellEnd"/>
                  <w:r w:rsidRPr="00116AF4">
                    <w:rPr>
                      <w:rFonts w:ascii="Arial" w:eastAsia="Times New Roman" w:hAnsi="Arial" w:cs="Arial"/>
                      <w:szCs w:val="24"/>
                    </w:rPr>
                    <w:t xml:space="preserve"> Doan and </w:t>
                  </w:r>
                  <w:proofErr w:type="spellStart"/>
                  <w:r w:rsidRPr="00116AF4">
                    <w:rPr>
                      <w:rFonts w:ascii="Arial" w:eastAsia="Times New Roman" w:hAnsi="Arial" w:cs="Arial"/>
                      <w:szCs w:val="24"/>
                    </w:rPr>
                    <w:t>Tuyen</w:t>
                  </w:r>
                  <w:proofErr w:type="spellEnd"/>
                  <w:r w:rsidRPr="00116AF4">
                    <w:rPr>
                      <w:rFonts w:ascii="Arial" w:eastAsia="Times New Roman" w:hAnsi="Arial" w:cs="Arial"/>
                      <w:szCs w:val="24"/>
                    </w:rPr>
                    <w:t xml:space="preserve"> </w:t>
                  </w:r>
                  <w:proofErr w:type="spellStart"/>
                  <w:r w:rsidRPr="00116AF4">
                    <w:rPr>
                      <w:rFonts w:ascii="Arial" w:eastAsia="Times New Roman" w:hAnsi="Arial" w:cs="Arial"/>
                      <w:szCs w:val="24"/>
                    </w:rPr>
                    <w:t>Quang</w:t>
                  </w:r>
                  <w:proofErr w:type="spellEnd"/>
                  <w:r w:rsidRPr="00116AF4">
                    <w:rPr>
                      <w:rFonts w:ascii="Arial" w:eastAsia="Times New Roman" w:hAnsi="Arial" w:cs="Arial"/>
                      <w:szCs w:val="24"/>
                    </w:rPr>
                    <w:t xml:space="preserve"> Tran. Environment, Development and Sustainability,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This study explores the dynamics of income and income inequality in Vietnam from 2004 to 2014. Two main population subgroups are investigated: the ethnic majority, known as the </w:t>
                  </w:r>
                  <w:proofErr w:type="spellStart"/>
                  <w:r w:rsidRPr="00116AF4">
                    <w:rPr>
                      <w:rFonts w:ascii="Arial" w:eastAsia="Times New Roman" w:hAnsi="Arial" w:cs="Arial"/>
                      <w:szCs w:val="24"/>
                    </w:rPr>
                    <w:t>Kinh</w:t>
                  </w:r>
                  <w:proofErr w:type="spellEnd"/>
                  <w:r w:rsidRPr="00116AF4">
                    <w:rPr>
                      <w:rFonts w:ascii="Arial" w:eastAsia="Times New Roman" w:hAnsi="Arial" w:cs="Arial"/>
                      <w:szCs w:val="24"/>
                    </w:rPr>
                    <w:t xml:space="preserve"> people, and the minority group, which includes 53 minor ethnicities in Vietnam. The findings show that the income gap among ethnic groups has increased over the last decade. The Gini index decomposition indicates that wages and nonfarm business income are the two main determinants of income inequality. Cultivation and agricultural side-line incomes were relatively evenly distributed, despite their recent smaller equalizing effect. Both sub-population groups </w:t>
                  </w:r>
                  <w:r w:rsidRPr="00116AF4">
                    <w:rPr>
                      <w:rFonts w:ascii="Arial" w:eastAsia="Times New Roman" w:hAnsi="Arial" w:cs="Arial"/>
                      <w:szCs w:val="24"/>
                    </w:rPr>
                    <w:lastRenderedPageBreak/>
                    <w:t>have experienced a declining contribution from the agricultural sector to overall household income. Changes in income inequality in Vietnam by income source reflect the change in the structure of the economy from reliance on agriculture to non-agricultural economic activities.</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after="0" w:line="240" w:lineRule="auto"/>
                    <w:outlineLvl w:val="1"/>
                    <w:rPr>
                      <w:rFonts w:ascii="Arial" w:eastAsia="Times New Roman" w:hAnsi="Arial" w:cs="Arial"/>
                      <w:b/>
                      <w:bCs/>
                      <w:sz w:val="36"/>
                      <w:szCs w:val="36"/>
                    </w:rPr>
                  </w:pPr>
                  <w:bookmarkStart w:id="78" w:name="m_2775912902713410657__Toc522026524"/>
                  <w:r w:rsidRPr="00116AF4">
                    <w:rPr>
                      <w:rFonts w:ascii="Calibri" w:eastAsia="Times New Roman" w:hAnsi="Calibri" w:cs="Calibri"/>
                      <w:b/>
                      <w:bCs/>
                      <w:color w:val="800000"/>
                      <w:sz w:val="22"/>
                    </w:rPr>
                    <w:t>Discrimination against Migrants in Urban Vietnam.</w:t>
                  </w:r>
                  <w:bookmarkEnd w:id="78"/>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Jonathan Haughton, Wendi Sun and Le </w:t>
                  </w:r>
                  <w:proofErr w:type="spellStart"/>
                  <w:r w:rsidRPr="00116AF4">
                    <w:rPr>
                      <w:rFonts w:ascii="Arial" w:eastAsia="Times New Roman" w:hAnsi="Arial" w:cs="Arial"/>
                      <w:szCs w:val="24"/>
                    </w:rPr>
                    <w:t>Thi</w:t>
                  </w:r>
                  <w:proofErr w:type="spellEnd"/>
                  <w:r w:rsidRPr="00116AF4">
                    <w:rPr>
                      <w:rFonts w:ascii="Arial" w:eastAsia="Times New Roman" w:hAnsi="Arial" w:cs="Arial"/>
                      <w:szCs w:val="24"/>
                    </w:rPr>
                    <w:t xml:space="preserve"> Thanh Loan. International Advances in Economic Research, 2018.</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xml:space="preserve">Abstract: In 2009, migrant workers in the two major cities of Vietnam, Hanoi and Ho Chi Minh City, earned 42% less per hour than did non-migrant (“resident”) workers. We seek to explain this gap using data from a carefully-designed urban poverty survey undertaken in 2009 by the General Statistics Office. We use the method proposed by Brown, Moon, and </w:t>
                  </w:r>
                  <w:proofErr w:type="spellStart"/>
                  <w:r w:rsidRPr="00116AF4">
                    <w:rPr>
                      <w:rFonts w:ascii="Arial" w:eastAsia="Times New Roman" w:hAnsi="Arial" w:cs="Arial"/>
                      <w:szCs w:val="24"/>
                    </w:rPr>
                    <w:t>Zoloth</w:t>
                  </w:r>
                  <w:proofErr w:type="spellEnd"/>
                  <w:r w:rsidRPr="00116AF4">
                    <w:rPr>
                      <w:rFonts w:ascii="Arial" w:eastAsia="Times New Roman" w:hAnsi="Arial" w:cs="Arial"/>
                      <w:szCs w:val="24"/>
                    </w:rPr>
                    <w:t xml:space="preserve">, which first explains how workers sort into different sectors, and then examines wage differentials using </w:t>
                  </w:r>
                  <w:proofErr w:type="gramStart"/>
                  <w:r w:rsidRPr="00116AF4">
                    <w:rPr>
                      <w:rFonts w:ascii="Arial" w:eastAsia="Times New Roman" w:hAnsi="Arial" w:cs="Arial"/>
                      <w:szCs w:val="24"/>
                    </w:rPr>
                    <w:t>a Blinder</w:t>
                  </w:r>
                  <w:proofErr w:type="gramEnd"/>
                  <w:r w:rsidRPr="00116AF4">
                    <w:rPr>
                      <w:rFonts w:ascii="Arial" w:eastAsia="Times New Roman" w:hAnsi="Arial" w:cs="Arial"/>
                      <w:szCs w:val="24"/>
                    </w:rPr>
                    <w:t xml:space="preserve">-Oaxaca style decomposition. About half of the wage gap may be explained by endowments. The system of residential permits (ho </w:t>
                  </w:r>
                  <w:proofErr w:type="spellStart"/>
                  <w:r w:rsidRPr="00116AF4">
                    <w:rPr>
                      <w:rFonts w:ascii="Arial" w:eastAsia="Times New Roman" w:hAnsi="Arial" w:cs="Arial"/>
                      <w:szCs w:val="24"/>
                    </w:rPr>
                    <w:t>khau</w:t>
                  </w:r>
                  <w:proofErr w:type="spellEnd"/>
                  <w:r w:rsidRPr="00116AF4">
                    <w:rPr>
                      <w:rFonts w:ascii="Arial" w:eastAsia="Times New Roman" w:hAnsi="Arial" w:cs="Arial"/>
                      <w:szCs w:val="24"/>
                    </w:rPr>
                    <w:t>) may contribute to the difficulties faced by migrants. Our results are broadly similar to, although more stable and plausible than, those found for the major cities in China.</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bookmarkStart w:id="79" w:name="m_2775912902713410657__Hlk511750469"/>
                  <w:r w:rsidRPr="00116AF4">
                    <w:rPr>
                      <w:rFonts w:ascii="Arial" w:eastAsia="Times New Roman" w:hAnsi="Arial" w:cs="Arial"/>
                      <w:szCs w:val="24"/>
                    </w:rPr>
                    <w:t>               </w:t>
                  </w:r>
                  <w:bookmarkEnd w:id="79"/>
                  <w:r w:rsidRPr="00116AF4">
                    <w:rPr>
                      <w:rFonts w:ascii="Arial" w:eastAsia="Times New Roman" w:hAnsi="Arial" w:cs="Arial"/>
                      <w:szCs w:val="24"/>
                    </w:rPr>
                    <w:fldChar w:fldCharType="begin"/>
                  </w:r>
                  <w:r w:rsidRPr="00116AF4">
                    <w:rPr>
                      <w:rFonts w:ascii="Arial" w:eastAsia="Times New Roman" w:hAnsi="Arial" w:cs="Arial"/>
                      <w:szCs w:val="24"/>
                    </w:rPr>
                    <w:instrText xml:space="preserve"> HYPERLINK "https://mail.google.com/mail/u/0/?ui=2&amp;ik=98e23e7e7e&amp;view=lg&amp;msg=16537be4e6b770ba" \l "m_2775912902713410657__top" </w:instrText>
                  </w:r>
                  <w:r w:rsidRPr="00116AF4">
                    <w:rPr>
                      <w:rFonts w:ascii="Arial" w:eastAsia="Times New Roman" w:hAnsi="Arial" w:cs="Arial"/>
                      <w:szCs w:val="24"/>
                    </w:rPr>
                    <w:fldChar w:fldCharType="separate"/>
                  </w:r>
                  <w:hyperlink w:anchor="_top" w:history="1">
                    <w:r w:rsidR="00977307" w:rsidRPr="00116AF4">
                      <w:rPr>
                        <w:rFonts w:ascii="Arial" w:eastAsia="Times New Roman" w:hAnsi="Arial" w:cs="Arial"/>
                        <w:color w:val="1155CC"/>
                        <w:szCs w:val="24"/>
                        <w:u w:val="single"/>
                      </w:rPr>
                      <w:t>Back to top</w:t>
                    </w:r>
                  </w:hyperlink>
                  <w:r w:rsidRPr="00116AF4">
                    <w:rPr>
                      <w:rFonts w:ascii="Arial" w:eastAsia="Times New Roman" w:hAnsi="Arial" w:cs="Arial"/>
                      <w:szCs w:val="24"/>
                    </w:rPr>
                    <w:fldChar w:fldCharType="end"/>
                  </w:r>
                </w:p>
                <w:p w:rsidR="00116AF4" w:rsidRPr="00116AF4" w:rsidRDefault="00116AF4" w:rsidP="00116AF4">
                  <w:pPr>
                    <w:spacing w:before="100" w:beforeAutospacing="1" w:after="100" w:afterAutospacing="1" w:line="240" w:lineRule="auto"/>
                    <w:rPr>
                      <w:rFonts w:ascii="Arial" w:eastAsia="Times New Roman" w:hAnsi="Arial" w:cs="Arial"/>
                      <w:szCs w:val="24"/>
                    </w:rPr>
                  </w:pPr>
                  <w:r w:rsidRPr="00116AF4">
                    <w:rPr>
                      <w:rFonts w:ascii="Arial" w:eastAsia="Times New Roman" w:hAnsi="Arial" w:cs="Arial"/>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 </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w:t>
                  </w:r>
                </w:p>
                <w:p w:rsidR="00116AF4" w:rsidRPr="00116AF4" w:rsidRDefault="00116AF4" w:rsidP="00116AF4">
                  <w:pPr>
                    <w:spacing w:before="100" w:beforeAutospacing="1" w:after="0" w:line="240" w:lineRule="auto"/>
                    <w:rPr>
                      <w:rFonts w:ascii="Arial" w:eastAsia="Times New Roman" w:hAnsi="Arial" w:cs="Arial"/>
                      <w:szCs w:val="24"/>
                    </w:rPr>
                  </w:pPr>
                  <w:proofErr w:type="spellStart"/>
                  <w:r w:rsidRPr="00116AF4">
                    <w:rPr>
                      <w:rFonts w:ascii="Arial" w:eastAsia="Times New Roman" w:hAnsi="Arial" w:cs="Arial"/>
                      <w:color w:val="1F3864"/>
                      <w:szCs w:val="24"/>
                    </w:rPr>
                    <w:t>Vũ</w:t>
                  </w:r>
                  <w:proofErr w:type="spellEnd"/>
                  <w:r w:rsidRPr="00116AF4">
                    <w:rPr>
                      <w:rFonts w:ascii="Arial" w:eastAsia="Times New Roman" w:hAnsi="Arial" w:cs="Arial"/>
                      <w:color w:val="1F3864"/>
                      <w:szCs w:val="24"/>
                    </w:rPr>
                    <w:t xml:space="preserve"> </w:t>
                  </w:r>
                  <w:proofErr w:type="spellStart"/>
                  <w:r w:rsidRPr="00116AF4">
                    <w:rPr>
                      <w:rFonts w:ascii="Arial" w:eastAsia="Times New Roman" w:hAnsi="Arial" w:cs="Arial"/>
                      <w:color w:val="1F3864"/>
                      <w:szCs w:val="24"/>
                    </w:rPr>
                    <w:t>Thị</w:t>
                  </w:r>
                  <w:proofErr w:type="spellEnd"/>
                  <w:r w:rsidRPr="00116AF4">
                    <w:rPr>
                      <w:rFonts w:ascii="Arial" w:eastAsia="Times New Roman" w:hAnsi="Arial" w:cs="Arial"/>
                      <w:color w:val="1F3864"/>
                      <w:szCs w:val="24"/>
                    </w:rPr>
                    <w:t xml:space="preserve"> </w:t>
                  </w:r>
                  <w:proofErr w:type="spellStart"/>
                  <w:r w:rsidRPr="00116AF4">
                    <w:rPr>
                      <w:rFonts w:ascii="Arial" w:eastAsia="Times New Roman" w:hAnsi="Arial" w:cs="Arial"/>
                      <w:color w:val="1F3864"/>
                      <w:szCs w:val="24"/>
                    </w:rPr>
                    <w:t>Nha</w:t>
                  </w:r>
                  <w:proofErr w:type="spellEnd"/>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Librarian</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World Bank Group</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63 Ly Thai To, Hanoi, Vietnam</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lastRenderedPageBreak/>
                    <w:t>Tel.: +84-4-3934 6845</w:t>
                  </w:r>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Email: </w:t>
                  </w:r>
                  <w:hyperlink r:id="rId61" w:tgtFrame="_blank" w:history="1">
                    <w:r w:rsidRPr="00116AF4">
                      <w:rPr>
                        <w:rFonts w:ascii="Arial" w:eastAsia="Times New Roman" w:hAnsi="Arial" w:cs="Arial"/>
                        <w:color w:val="1F3864"/>
                        <w:szCs w:val="24"/>
                        <w:u w:val="single"/>
                      </w:rPr>
                      <w:t>nvu2@worldbankgroup.org</w:t>
                    </w:r>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World Bank Vietnam web site </w:t>
                  </w:r>
                  <w:hyperlink r:id="rId62" w:tgtFrame="_blank" w:history="1">
                    <w:r w:rsidRPr="00116AF4">
                      <w:rPr>
                        <w:rFonts w:ascii="Arial" w:eastAsia="Times New Roman" w:hAnsi="Arial" w:cs="Arial"/>
                        <w:color w:val="1F3864"/>
                        <w:szCs w:val="24"/>
                        <w:u w:val="single"/>
                      </w:rPr>
                      <w:t>http://www.worldbank.org.vn</w:t>
                    </w:r>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WB’s free documents and reports </w:t>
                  </w:r>
                  <w:hyperlink r:id="rId63" w:tgtFrame="_blank" w:history="1">
                    <w:r w:rsidRPr="00116AF4">
                      <w:rPr>
                        <w:rFonts w:ascii="Arial" w:eastAsia="Times New Roman" w:hAnsi="Arial" w:cs="Arial"/>
                        <w:color w:val="1F3864"/>
                        <w:szCs w:val="24"/>
                        <w:u w:val="single"/>
                      </w:rPr>
                      <w:t>http://www.worldbank.org/documents</w:t>
                    </w:r>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WB’s free publications &amp; research </w:t>
                  </w:r>
                  <w:hyperlink r:id="rId64" w:tgtFrame="_blank" w:history="1">
                    <w:r w:rsidRPr="00116AF4">
                      <w:rPr>
                        <w:rFonts w:ascii="Arial" w:eastAsia="Times New Roman" w:hAnsi="Arial" w:cs="Arial"/>
                        <w:color w:val="1F3864"/>
                        <w:szCs w:val="24"/>
                        <w:u w:val="single"/>
                      </w:rPr>
                      <w:t>http://openknowledge.worldbank.org</w:t>
                    </w:r>
                  </w:hyperlink>
                </w:p>
                <w:p w:rsidR="00116AF4" w:rsidRPr="00116AF4" w:rsidRDefault="00116AF4" w:rsidP="00116AF4">
                  <w:pPr>
                    <w:spacing w:before="100" w:beforeAutospacing="1" w:after="0" w:line="240" w:lineRule="auto"/>
                    <w:rPr>
                      <w:rFonts w:ascii="Arial" w:eastAsia="Times New Roman" w:hAnsi="Arial" w:cs="Arial"/>
                      <w:szCs w:val="24"/>
                    </w:rPr>
                  </w:pPr>
                  <w:r w:rsidRPr="00116AF4">
                    <w:rPr>
                      <w:rFonts w:ascii="Arial" w:eastAsia="Times New Roman" w:hAnsi="Arial" w:cs="Arial"/>
                      <w:color w:val="1F3864"/>
                      <w:szCs w:val="24"/>
                    </w:rPr>
                    <w:t>WB’s free data &amp; statistics </w:t>
                  </w:r>
                  <w:hyperlink r:id="rId65" w:tgtFrame="_blank" w:history="1">
                    <w:r w:rsidRPr="00116AF4">
                      <w:rPr>
                        <w:rFonts w:ascii="Arial" w:eastAsia="Times New Roman" w:hAnsi="Arial" w:cs="Arial"/>
                        <w:color w:val="1F3864"/>
                        <w:szCs w:val="24"/>
                        <w:u w:val="single"/>
                      </w:rPr>
                      <w:t>http://data.worldbank.org</w:t>
                    </w:r>
                  </w:hyperlink>
                </w:p>
                <w:p w:rsidR="00116AF4" w:rsidRPr="00116AF4" w:rsidRDefault="00116AF4" w:rsidP="00116AF4">
                  <w:pPr>
                    <w:spacing w:before="100" w:beforeAutospacing="1" w:after="100" w:afterAutospacing="1" w:line="240" w:lineRule="auto"/>
                    <w:rPr>
                      <w:rFonts w:ascii="Arial" w:eastAsia="Times New Roman" w:hAnsi="Arial" w:cs="Arial"/>
                      <w:szCs w:val="24"/>
                    </w:rPr>
                  </w:pPr>
                  <w:r w:rsidRPr="00116AF4">
                    <w:rPr>
                      <w:rFonts w:ascii="Arial" w:eastAsia="Times New Roman" w:hAnsi="Arial" w:cs="Arial"/>
                      <w:szCs w:val="24"/>
                    </w:rPr>
                    <w:t> </w:t>
                  </w:r>
                </w:p>
              </w:tc>
            </w:tr>
          </w:tbl>
          <w:p w:rsidR="00116AF4" w:rsidRPr="00116AF4" w:rsidRDefault="00116AF4" w:rsidP="00116AF4">
            <w:pPr>
              <w:spacing w:after="0" w:line="240" w:lineRule="auto"/>
              <w:rPr>
                <w:rFonts w:ascii="Arial" w:eastAsia="Times New Roman" w:hAnsi="Arial" w:cs="Arial"/>
                <w:color w:val="000000"/>
                <w:sz w:val="20"/>
                <w:szCs w:val="20"/>
              </w:rPr>
            </w:pPr>
          </w:p>
        </w:tc>
        <w:bookmarkStart w:id="80" w:name="_GoBack"/>
        <w:bookmarkEnd w:id="80"/>
      </w:tr>
    </w:tbl>
    <w:p w:rsidR="00A82EC4" w:rsidRDefault="00A82EC4"/>
    <w:sectPr w:rsidR="00A82E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AF4"/>
    <w:rsid w:val="00116AF4"/>
    <w:rsid w:val="001B152A"/>
    <w:rsid w:val="00977307"/>
    <w:rsid w:val="00A82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16AF4"/>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116AF4"/>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6AF4"/>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116AF4"/>
    <w:rPr>
      <w:rFonts w:eastAsia="Times New Roman" w:cs="Times New Roman"/>
      <w:b/>
      <w:bCs/>
      <w:sz w:val="36"/>
      <w:szCs w:val="36"/>
    </w:rPr>
  </w:style>
  <w:style w:type="numbering" w:customStyle="1" w:styleId="NoList1">
    <w:name w:val="No List1"/>
    <w:next w:val="NoList"/>
    <w:uiPriority w:val="99"/>
    <w:semiHidden/>
    <w:unhideWhenUsed/>
    <w:rsid w:val="00116AF4"/>
  </w:style>
  <w:style w:type="character" w:customStyle="1" w:styleId="apple-converted-space">
    <w:name w:val="apple-converted-space"/>
    <w:basedOn w:val="DefaultParagraphFont"/>
    <w:rsid w:val="00116AF4"/>
  </w:style>
  <w:style w:type="paragraph" w:customStyle="1" w:styleId="m2775912902713410657msotoc1">
    <w:name w:val="m_2775912902713410657msotoc1"/>
    <w:basedOn w:val="Normal"/>
    <w:rsid w:val="00116AF4"/>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116AF4"/>
    <w:rPr>
      <w:color w:val="0000FF"/>
      <w:u w:val="single"/>
    </w:rPr>
  </w:style>
  <w:style w:type="character" w:styleId="FollowedHyperlink">
    <w:name w:val="FollowedHyperlink"/>
    <w:basedOn w:val="DefaultParagraphFont"/>
    <w:uiPriority w:val="99"/>
    <w:semiHidden/>
    <w:unhideWhenUsed/>
    <w:rsid w:val="00116AF4"/>
    <w:rPr>
      <w:color w:val="800080"/>
      <w:u w:val="single"/>
    </w:rPr>
  </w:style>
  <w:style w:type="paragraph" w:customStyle="1" w:styleId="m2775912902713410657msotoc2">
    <w:name w:val="m_2775912902713410657msotoc2"/>
    <w:basedOn w:val="Normal"/>
    <w:rsid w:val="00116AF4"/>
    <w:pPr>
      <w:spacing w:before="100" w:beforeAutospacing="1" w:after="100" w:afterAutospacing="1" w:line="240" w:lineRule="auto"/>
    </w:pPr>
    <w:rPr>
      <w:rFonts w:eastAsia="Times New Roman" w:cs="Times New Roman"/>
      <w:szCs w:val="24"/>
    </w:rPr>
  </w:style>
  <w:style w:type="character" w:customStyle="1" w:styleId="m2775912902713410657msohyperlink">
    <w:name w:val="m_2775912902713410657msohyperlink"/>
    <w:basedOn w:val="DefaultParagraphFont"/>
    <w:rsid w:val="00116AF4"/>
  </w:style>
  <w:style w:type="paragraph" w:styleId="NormalWeb">
    <w:name w:val="Normal (Web)"/>
    <w:basedOn w:val="Normal"/>
    <w:uiPriority w:val="99"/>
    <w:semiHidden/>
    <w:unhideWhenUsed/>
    <w:rsid w:val="00116AF4"/>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116AF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16AF4"/>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116AF4"/>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6AF4"/>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116AF4"/>
    <w:rPr>
      <w:rFonts w:eastAsia="Times New Roman" w:cs="Times New Roman"/>
      <w:b/>
      <w:bCs/>
      <w:sz w:val="36"/>
      <w:szCs w:val="36"/>
    </w:rPr>
  </w:style>
  <w:style w:type="numbering" w:customStyle="1" w:styleId="NoList1">
    <w:name w:val="No List1"/>
    <w:next w:val="NoList"/>
    <w:uiPriority w:val="99"/>
    <w:semiHidden/>
    <w:unhideWhenUsed/>
    <w:rsid w:val="00116AF4"/>
  </w:style>
  <w:style w:type="character" w:customStyle="1" w:styleId="apple-converted-space">
    <w:name w:val="apple-converted-space"/>
    <w:basedOn w:val="DefaultParagraphFont"/>
    <w:rsid w:val="00116AF4"/>
  </w:style>
  <w:style w:type="paragraph" w:customStyle="1" w:styleId="m2775912902713410657msotoc1">
    <w:name w:val="m_2775912902713410657msotoc1"/>
    <w:basedOn w:val="Normal"/>
    <w:rsid w:val="00116AF4"/>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116AF4"/>
    <w:rPr>
      <w:color w:val="0000FF"/>
      <w:u w:val="single"/>
    </w:rPr>
  </w:style>
  <w:style w:type="character" w:styleId="FollowedHyperlink">
    <w:name w:val="FollowedHyperlink"/>
    <w:basedOn w:val="DefaultParagraphFont"/>
    <w:uiPriority w:val="99"/>
    <w:semiHidden/>
    <w:unhideWhenUsed/>
    <w:rsid w:val="00116AF4"/>
    <w:rPr>
      <w:color w:val="800080"/>
      <w:u w:val="single"/>
    </w:rPr>
  </w:style>
  <w:style w:type="paragraph" w:customStyle="1" w:styleId="m2775912902713410657msotoc2">
    <w:name w:val="m_2775912902713410657msotoc2"/>
    <w:basedOn w:val="Normal"/>
    <w:rsid w:val="00116AF4"/>
    <w:pPr>
      <w:spacing w:before="100" w:beforeAutospacing="1" w:after="100" w:afterAutospacing="1" w:line="240" w:lineRule="auto"/>
    </w:pPr>
    <w:rPr>
      <w:rFonts w:eastAsia="Times New Roman" w:cs="Times New Roman"/>
      <w:szCs w:val="24"/>
    </w:rPr>
  </w:style>
  <w:style w:type="character" w:customStyle="1" w:styleId="m2775912902713410657msohyperlink">
    <w:name w:val="m_2775912902713410657msohyperlink"/>
    <w:basedOn w:val="DefaultParagraphFont"/>
    <w:rsid w:val="00116AF4"/>
  </w:style>
  <w:style w:type="paragraph" w:styleId="NormalWeb">
    <w:name w:val="Normal (Web)"/>
    <w:basedOn w:val="Normal"/>
    <w:uiPriority w:val="99"/>
    <w:semiHidden/>
    <w:unhideWhenUsed/>
    <w:rsid w:val="00116AF4"/>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116A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729377">
      <w:bodyDiv w:val="1"/>
      <w:marLeft w:val="0"/>
      <w:marRight w:val="0"/>
      <w:marTop w:val="0"/>
      <w:marBottom w:val="0"/>
      <w:divBdr>
        <w:top w:val="none" w:sz="0" w:space="0" w:color="auto"/>
        <w:left w:val="none" w:sz="0" w:space="0" w:color="auto"/>
        <w:bottom w:val="none" w:sz="0" w:space="0" w:color="auto"/>
        <w:right w:val="none" w:sz="0" w:space="0" w:color="auto"/>
      </w:divBdr>
    </w:div>
    <w:div w:id="2147046629">
      <w:bodyDiv w:val="1"/>
      <w:marLeft w:val="0"/>
      <w:marRight w:val="0"/>
      <w:marTop w:val="0"/>
      <w:marBottom w:val="0"/>
      <w:divBdr>
        <w:top w:val="none" w:sz="0" w:space="0" w:color="auto"/>
        <w:left w:val="none" w:sz="0" w:space="0" w:color="auto"/>
        <w:bottom w:val="none" w:sz="0" w:space="0" w:color="auto"/>
        <w:right w:val="none" w:sz="0" w:space="0" w:color="auto"/>
      </w:divBdr>
      <w:divsChild>
        <w:div w:id="1282347058">
          <w:marLeft w:val="0"/>
          <w:marRight w:val="0"/>
          <w:marTop w:val="0"/>
          <w:marBottom w:val="0"/>
          <w:divBdr>
            <w:top w:val="none" w:sz="0" w:space="0" w:color="auto"/>
            <w:left w:val="none" w:sz="0" w:space="0" w:color="auto"/>
            <w:bottom w:val="none" w:sz="0" w:space="0" w:color="auto"/>
            <w:right w:val="none" w:sz="0" w:space="0" w:color="auto"/>
          </w:divBdr>
          <w:divsChild>
            <w:div w:id="1252006292">
              <w:marLeft w:val="0"/>
              <w:marRight w:val="0"/>
              <w:marTop w:val="0"/>
              <w:marBottom w:val="0"/>
              <w:divBdr>
                <w:top w:val="none" w:sz="0" w:space="0" w:color="auto"/>
                <w:left w:val="none" w:sz="0" w:space="0" w:color="auto"/>
                <w:bottom w:val="none" w:sz="0" w:space="0" w:color="auto"/>
                <w:right w:val="none" w:sz="0" w:space="0" w:color="auto"/>
              </w:divBdr>
              <w:divsChild>
                <w:div w:id="163289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07/s41685-018-0094-0" TargetMode="External"/><Relationship Id="rId18" Type="http://schemas.openxmlformats.org/officeDocument/2006/relationships/hyperlink" Target="https://www.wider.unu.edu/publication/exporting-and-subcontracting-decisions-viet-nams-small-and-medium-sized-enterprises" TargetMode="External"/><Relationship Id="rId26" Type="http://schemas.openxmlformats.org/officeDocument/2006/relationships/hyperlink" Target="https://mail.google.com/mail/u/0/?ui=2&amp;ik=98e23e7e7e&amp;view=lg&amp;msg=16537be4e6b770ba" TargetMode="External"/><Relationship Id="rId39" Type="http://schemas.openxmlformats.org/officeDocument/2006/relationships/hyperlink" Target="https://doi.org/10.1016/j.ijid.2018.04.3628" TargetMode="External"/><Relationship Id="rId21" Type="http://schemas.openxmlformats.org/officeDocument/2006/relationships/hyperlink" Target="https://www.wider.unu.edu/publication/interaction-institutional-quality-and-human-capital-shaping-dynamics-capital-structure" TargetMode="External"/><Relationship Id="rId34" Type="http://schemas.openxmlformats.org/officeDocument/2006/relationships/hyperlink" Target="https://mail.google.com/mail/u/0/?ui=2&amp;ik=98e23e7e7e&amp;view=lg&amp;msg=16537be4e6b770ba" TargetMode="External"/><Relationship Id="rId42" Type="http://schemas.openxmlformats.org/officeDocument/2006/relationships/hyperlink" Target="https://mail.google.com/mail/u/0/?ui=2&amp;ik=98e23e7e7e&amp;view=lg&amp;msg=16537be4e6b770ba" TargetMode="External"/><Relationship Id="rId47" Type="http://schemas.openxmlformats.org/officeDocument/2006/relationships/hyperlink" Target="https://doi.org/10.1016/j.echo.2018.05.013" TargetMode="External"/><Relationship Id="rId50" Type="http://schemas.openxmlformats.org/officeDocument/2006/relationships/hyperlink" Target="http://journals.plos.org/plosone/article?id=10.1371/journal.pone.0200519" TargetMode="External"/><Relationship Id="rId55" Type="http://schemas.openxmlformats.org/officeDocument/2006/relationships/hyperlink" Target="https://onlinelibrary.wiley.com/doi/abs/10.1002/app5.251" TargetMode="External"/><Relationship Id="rId63" Type="http://schemas.openxmlformats.org/officeDocument/2006/relationships/hyperlink" Target="http://www.worldbank.org/documents" TargetMode="External"/><Relationship Id="rId7" Type="http://schemas.openxmlformats.org/officeDocument/2006/relationships/hyperlink" Target="https://mail.google.com/mail/u/0/?ui=2&amp;ik=98e23e7e7e&amp;view=lg&amp;msg=16537be4e6b770ba" TargetMode="External"/><Relationship Id="rId2" Type="http://schemas.microsoft.com/office/2007/relationships/stylesWithEffects" Target="stylesWithEffects.xml"/><Relationship Id="rId16" Type="http://schemas.openxmlformats.org/officeDocument/2006/relationships/hyperlink" Target="https://www.wider.unu.edu/publication/capital-allocation-credit-access-and-firm-growth-viet-nam" TargetMode="External"/><Relationship Id="rId29" Type="http://schemas.openxmlformats.org/officeDocument/2006/relationships/hyperlink" Target="https://mail.google.com/mail/u/0/?ui=2&amp;ik=98e23e7e7e&amp;view=lg&amp;msg=16537be4e6b770ba" TargetMode="External"/><Relationship Id="rId1" Type="http://schemas.openxmlformats.org/officeDocument/2006/relationships/styles" Target="styles.xml"/><Relationship Id="rId6" Type="http://schemas.openxmlformats.org/officeDocument/2006/relationships/hyperlink" Target="https://hal.archives-ouvertes.fr/hal-01835542/" TargetMode="External"/><Relationship Id="rId11" Type="http://schemas.openxmlformats.org/officeDocument/2006/relationships/hyperlink" Target="https://www.adb.org/publications/international-remittances-and-poverty-reduction" TargetMode="External"/><Relationship Id="rId24" Type="http://schemas.openxmlformats.org/officeDocument/2006/relationships/hyperlink" Target="https://think-asia.org/handle/11540/8397" TargetMode="External"/><Relationship Id="rId32" Type="http://schemas.openxmlformats.org/officeDocument/2006/relationships/hyperlink" Target="https://static1.squarespace.com/static/5b1bf8b6f2e6b18447c9e78c/t/5b4289e803ce641f98056ded/1531087337745/Schuler+Gender+Knowledge+Vietnam.pdf" TargetMode="External"/><Relationship Id="rId37" Type="http://schemas.openxmlformats.org/officeDocument/2006/relationships/hyperlink" Target="https://mail.google.com/mail/u/0/?ui=2&amp;ik=98e23e7e7e&amp;view=lg&amp;msg=16537be4e6b770ba" TargetMode="External"/><Relationship Id="rId40" Type="http://schemas.openxmlformats.org/officeDocument/2006/relationships/hyperlink" Target="https://mail.google.com/mail/u/0/?ui=2&amp;ik=98e23e7e7e&amp;view=lg&amp;msg=16537be4e6b770ba" TargetMode="External"/><Relationship Id="rId45" Type="http://schemas.openxmlformats.org/officeDocument/2006/relationships/hyperlink" Target="https://mail.google.com/mail/u/0/?ui=2&amp;ik=98e23e7e7e&amp;view=lg&amp;msg=16537be4e6b770ba" TargetMode="External"/><Relationship Id="rId53" Type="http://schemas.openxmlformats.org/officeDocument/2006/relationships/hyperlink" Target="https://mail.google.com/mail/u/0/?ui=2&amp;ik=98e23e7e7e&amp;view=lg&amp;msg=16537be4e6b770ba" TargetMode="External"/><Relationship Id="rId58" Type="http://schemas.openxmlformats.org/officeDocument/2006/relationships/hyperlink" Target="https://www.wider.unu.edu/publication/does-union-membership-pay" TargetMode="External"/><Relationship Id="rId66" Type="http://schemas.openxmlformats.org/officeDocument/2006/relationships/fontTable" Target="fontTable.xml"/><Relationship Id="rId5" Type="http://schemas.openxmlformats.org/officeDocument/2006/relationships/hyperlink" Target="https://ideas.repec.org/p/ess/wpaper/id12785.html" TargetMode="External"/><Relationship Id="rId15" Type="http://schemas.openxmlformats.org/officeDocument/2006/relationships/hyperlink" Target="https://www.wider.unu.edu/publication/are-politically-connected-firms-less-constrained-credit-markets" TargetMode="External"/><Relationship Id="rId23" Type="http://schemas.openxmlformats.org/officeDocument/2006/relationships/hyperlink" Target="https://www.wider.unu.edu/publication/why-do-household-businesses-viet-nam-stay-informal" TargetMode="External"/><Relationship Id="rId28" Type="http://schemas.openxmlformats.org/officeDocument/2006/relationships/hyperlink" Target="https://doi.org/10.1038/s41598-018-29734-7" TargetMode="External"/><Relationship Id="rId36" Type="http://schemas.openxmlformats.org/officeDocument/2006/relationships/hyperlink" Target="https://mail.google.com/mail/u/0/?ui=2&amp;ik=98e23e7e7e&amp;view=lg&amp;msg=16537be4e6b770ba" TargetMode="External"/><Relationship Id="rId49" Type="http://schemas.openxmlformats.org/officeDocument/2006/relationships/hyperlink" Target="https://mail.google.com/mail/u/0/?ui=2&amp;ik=98e23e7e7e&amp;view=lg&amp;msg=16537be4e6b770ba" TargetMode="External"/><Relationship Id="rId57" Type="http://schemas.openxmlformats.org/officeDocument/2006/relationships/hyperlink" Target="https://mail.google.com/mail/u/0/?ui=2&amp;ik=98e23e7e7e&amp;view=lg&amp;msg=16537be4e6b770ba" TargetMode="External"/><Relationship Id="rId61" Type="http://schemas.openxmlformats.org/officeDocument/2006/relationships/hyperlink" Target="mailto:nvu2@worldbankgroup.org" TargetMode="External"/><Relationship Id="rId10" Type="http://schemas.openxmlformats.org/officeDocument/2006/relationships/hyperlink" Target="http://documents.worldbank.org/curated/en/232971531750943775/Advancing-digital-financial-inclusion-in-ASEAN-policy-and-regulatory-enablers" TargetMode="External"/><Relationship Id="rId19" Type="http://schemas.openxmlformats.org/officeDocument/2006/relationships/hyperlink" Target="https://mail.google.com/mail/u/0/?ui=2&amp;ik=98e23e7e7e&amp;view=lg&amp;msg=16537be4e6b770ba" TargetMode="External"/><Relationship Id="rId31" Type="http://schemas.openxmlformats.org/officeDocument/2006/relationships/hyperlink" Target="https://mail.google.com/mail/u/0/?ui=2&amp;ik=98e23e7e7e&amp;view=lg&amp;msg=16537be4e6b770ba" TargetMode="External"/><Relationship Id="rId44" Type="http://schemas.openxmlformats.org/officeDocument/2006/relationships/hyperlink" Target="https://bmjopen.bmj.com/content/bmjopen/8/7/e023539.full.pdf" TargetMode="External"/><Relationship Id="rId52" Type="http://schemas.openxmlformats.org/officeDocument/2006/relationships/hyperlink" Target="https://www.ncbi.nlm.nih.gov/pmc/articles/PMC6037493/" TargetMode="External"/><Relationship Id="rId60" Type="http://schemas.openxmlformats.org/officeDocument/2006/relationships/hyperlink" Target="https://mail.google.com/mail/u/0/?ui=2&amp;ik=98e23e7e7e&amp;view=lg&amp;msg=16537be4e6b770ba" TargetMode="External"/><Relationship Id="rId65" Type="http://schemas.openxmlformats.org/officeDocument/2006/relationships/hyperlink" Target="http://data.worldbank.org/" TargetMode="External"/><Relationship Id="rId4" Type="http://schemas.openxmlformats.org/officeDocument/2006/relationships/webSettings" Target="webSettings.xml"/><Relationship Id="rId9" Type="http://schemas.openxmlformats.org/officeDocument/2006/relationships/hyperlink" Target="https://mail.google.com/mail/u/0/?ui=2&amp;ik=98e23e7e7e&amp;view=lg&amp;msg=16537be4e6b770ba" TargetMode="External"/><Relationship Id="rId14" Type="http://schemas.openxmlformats.org/officeDocument/2006/relationships/hyperlink" Target="https://mail.google.com/mail/u/0/?ui=2&amp;ik=98e23e7e7e&amp;view=lg&amp;msg=16537be4e6b770ba" TargetMode="External"/><Relationship Id="rId22" Type="http://schemas.openxmlformats.org/officeDocument/2006/relationships/hyperlink" Target="https://mail.google.com/mail/u/0/?ui=2&amp;ik=98e23e7e7e&amp;view=lg&amp;msg=16537be4e6b770ba" TargetMode="External"/><Relationship Id="rId27" Type="http://schemas.openxmlformats.org/officeDocument/2006/relationships/hyperlink" Target="https://mail.google.com/mail/u/0/?ui=2&amp;ik=98e23e7e7e&amp;view=lg&amp;msg=16537be4e6b770ba" TargetMode="External"/><Relationship Id="rId30" Type="http://schemas.openxmlformats.org/officeDocument/2006/relationships/hyperlink" Target="https://mail.google.com/mail/u/0/?ui=2&amp;ik=98e23e7e7e&amp;view=lg&amp;msg=16537be4e6b770ba" TargetMode="External"/><Relationship Id="rId35" Type="http://schemas.openxmlformats.org/officeDocument/2006/relationships/hyperlink" Target="https://www.researchgate.net/profile/Trung_Quang_Vo/publication/326627316_Medical_Services_for_a_Provincial_Hospital_in_Vietnam_Cost_Analysis_for_Data_Management/links/5b5d2016aca272a2d6727711/Medical-Services-for-a-Provincial-Hospital-in-Vietnam-Cost-Analysis-for-Data-Management.pdf" TargetMode="External"/><Relationship Id="rId43" Type="http://schemas.openxmlformats.org/officeDocument/2006/relationships/hyperlink" Target="http://www.mdpi.com/1660-4601/15/7/1451" TargetMode="External"/><Relationship Id="rId48" Type="http://schemas.openxmlformats.org/officeDocument/2006/relationships/hyperlink" Target="https://mail.google.com/mail/u/0/?ui=2&amp;ik=98e23e7e7e&amp;view=lg&amp;msg=16537be4e6b770ba" TargetMode="External"/><Relationship Id="rId56" Type="http://schemas.openxmlformats.org/officeDocument/2006/relationships/hyperlink" Target="http://www.fao.org/3/i9181en/I9181EN.pdf" TargetMode="External"/><Relationship Id="rId64" Type="http://schemas.openxmlformats.org/officeDocument/2006/relationships/hyperlink" Target="http://openknowledge.worldbank.org/" TargetMode="External"/><Relationship Id="rId8" Type="http://schemas.openxmlformats.org/officeDocument/2006/relationships/hyperlink" Target="https://www.wider.unu.edu/publication/tenurial-security-and-agricultural-investment" TargetMode="External"/><Relationship Id="rId51" Type="http://schemas.openxmlformats.org/officeDocument/2006/relationships/hyperlink" Target="https://doi.org/10.1186/s13063-018-2815-0" TargetMode="External"/><Relationship Id="rId3" Type="http://schemas.openxmlformats.org/officeDocument/2006/relationships/settings" Target="settings.xml"/><Relationship Id="rId12" Type="http://schemas.openxmlformats.org/officeDocument/2006/relationships/hyperlink" Target="https://mail.google.com/mail/u/0/?ui=2&amp;ik=98e23e7e7e&amp;view=lg&amp;msg=16537be4e6b770ba" TargetMode="External"/><Relationship Id="rId17" Type="http://schemas.openxmlformats.org/officeDocument/2006/relationships/hyperlink" Target="http://www.sciencedirect.com/science/article/pii/S1059056017307220" TargetMode="External"/><Relationship Id="rId25" Type="http://schemas.openxmlformats.org/officeDocument/2006/relationships/hyperlink" Target="https://mail.google.com/mail/u/0/?ui=2&amp;ik=98e23e7e7e&amp;view=lg&amp;msg=16537be4e6b770ba" TargetMode="External"/><Relationship Id="rId33" Type="http://schemas.openxmlformats.org/officeDocument/2006/relationships/hyperlink" Target="https://mail.google.com/mail/u/0/?ui=2&amp;ik=98e23e7e7e&amp;view=lg&amp;msg=16537be4e6b770ba" TargetMode="External"/><Relationship Id="rId38" Type="http://schemas.openxmlformats.org/officeDocument/2006/relationships/hyperlink" Target="https://cdn.intechopen.com/pdfs/61329.pdf" TargetMode="External"/><Relationship Id="rId46" Type="http://schemas.openxmlformats.org/officeDocument/2006/relationships/hyperlink" Target="https://mail.google.com/mail/u/0/?ui=2&amp;ik=98e23e7e7e&amp;view=lg&amp;msg=16537be4e6b770ba" TargetMode="External"/><Relationship Id="rId59" Type="http://schemas.openxmlformats.org/officeDocument/2006/relationships/hyperlink" Target="https://www.wider.unu.edu/publication/pecuniary-returns-working-conditions-viet-nam" TargetMode="External"/><Relationship Id="rId67" Type="http://schemas.openxmlformats.org/officeDocument/2006/relationships/theme" Target="theme/theme1.xml"/><Relationship Id="rId20" Type="http://schemas.openxmlformats.org/officeDocument/2006/relationships/hyperlink" Target="https://www.wider.unu.edu/publication/how-important-are-management-practices-productivity-small-and-medium-enterprises" TargetMode="External"/><Relationship Id="rId41" Type="http://schemas.openxmlformats.org/officeDocument/2006/relationships/hyperlink" Target="https://cdn.intechopen.com/pdfs/60966.pdf" TargetMode="External"/><Relationship Id="rId54" Type="http://schemas.openxmlformats.org/officeDocument/2006/relationships/hyperlink" Target="http://en.greenidvietnam.org.vn/app/webroot/upload/admin/files/060618_GreenID_Study%20on%20future%20power%20sources.pdf" TargetMode="External"/><Relationship Id="rId62" Type="http://schemas.openxmlformats.org/officeDocument/2006/relationships/hyperlink" Target="http://www.worldbank.org.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49</Pages>
  <Words>18338</Words>
  <Characters>104532</Characters>
  <Application>Microsoft Office Word</Application>
  <DocSecurity>0</DocSecurity>
  <Lines>871</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Đ. Hoanh</dc:creator>
  <cp:lastModifiedBy>Tran Đ. Hoanh</cp:lastModifiedBy>
  <cp:revision>2</cp:revision>
  <dcterms:created xsi:type="dcterms:W3CDTF">2018-08-14T15:15:00Z</dcterms:created>
  <dcterms:modified xsi:type="dcterms:W3CDTF">2018-08-14T15:32:00Z</dcterms:modified>
</cp:coreProperties>
</file>