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478C" w:rsidRPr="00B1478C" w:rsidRDefault="00B1478C" w:rsidP="00B1478C">
      <w:pPr>
        <w:spacing w:before="100" w:beforeAutospacing="1" w:after="100" w:afterAutospacing="1" w:line="240" w:lineRule="auto"/>
        <w:rPr>
          <w:rFonts w:eastAsia="Times New Roman" w:cs="Times New Roman"/>
          <w:color w:val="FF0000"/>
          <w:sz w:val="28"/>
          <w:szCs w:val="28"/>
        </w:rPr>
      </w:pPr>
      <w:bookmarkStart w:id="0" w:name="m_2889938815520070680__Toc519521629"/>
      <w:bookmarkStart w:id="1" w:name="_top"/>
      <w:bookmarkEnd w:id="1"/>
      <w:r w:rsidRPr="00B1478C">
        <w:rPr>
          <w:rFonts w:eastAsia="Times New Roman" w:cs="Times New Roman"/>
          <w:b/>
          <w:bCs/>
          <w:color w:val="FF0000"/>
          <w:sz w:val="28"/>
          <w:szCs w:val="28"/>
        </w:rPr>
        <w:t>New research on development issues in Vietnam - Volume 10, number 8 (2018 July 16)</w:t>
      </w:r>
    </w:p>
    <w:p w:rsidR="00B1478C" w:rsidRPr="00B1478C" w:rsidRDefault="00B1478C" w:rsidP="00B1478C">
      <w:pPr>
        <w:spacing w:before="100" w:beforeAutospacing="1" w:after="100" w:afterAutospacing="1" w:line="240" w:lineRule="auto"/>
        <w:rPr>
          <w:rFonts w:eastAsia="Times New Roman" w:cs="Times New Roman"/>
          <w:szCs w:val="24"/>
        </w:rPr>
      </w:pPr>
      <w:r w:rsidRPr="00B1478C">
        <w:rPr>
          <w:rFonts w:eastAsia="Times New Roman" w:cs="Times New Roman"/>
          <w:szCs w:val="24"/>
        </w:rPr>
        <w:t> </w:t>
      </w:r>
    </w:p>
    <w:p w:rsidR="00B1478C" w:rsidRPr="00B1478C" w:rsidRDefault="00B1478C" w:rsidP="00B1478C">
      <w:pPr>
        <w:spacing w:before="100" w:beforeAutospacing="1" w:after="100" w:afterAutospacing="1" w:line="240" w:lineRule="auto"/>
        <w:rPr>
          <w:rStyle w:val="Hyperlink"/>
          <w:rFonts w:eastAsia="Times New Roman" w:cs="Times New Roman"/>
          <w:szCs w:val="24"/>
        </w:rPr>
      </w:pPr>
      <w:r>
        <w:rPr>
          <w:rFonts w:eastAsia="Times New Roman" w:cs="Times New Roman"/>
          <w:color w:val="0000FF"/>
          <w:szCs w:val="24"/>
          <w:u w:val="single"/>
        </w:rPr>
        <w:fldChar w:fldCharType="begin"/>
      </w:r>
      <w:r>
        <w:rPr>
          <w:rFonts w:eastAsia="Times New Roman" w:cs="Times New Roman"/>
          <w:color w:val="0000FF"/>
          <w:szCs w:val="24"/>
          <w:u w:val="single"/>
        </w:rPr>
        <w:instrText xml:space="preserve"> HYPERLINK  \l "m_2889938815520070680__Hlk507510159" </w:instrText>
      </w:r>
      <w:r>
        <w:rPr>
          <w:rFonts w:eastAsia="Times New Roman" w:cs="Times New Roman"/>
          <w:color w:val="0000FF"/>
          <w:szCs w:val="24"/>
          <w:u w:val="single"/>
        </w:rPr>
      </w:r>
      <w:r>
        <w:rPr>
          <w:rFonts w:eastAsia="Times New Roman" w:cs="Times New Roman"/>
          <w:color w:val="0000FF"/>
          <w:szCs w:val="24"/>
          <w:u w:val="single"/>
        </w:rPr>
        <w:fldChar w:fldCharType="separate"/>
      </w:r>
      <w:r w:rsidRPr="00B1478C">
        <w:rPr>
          <w:rStyle w:val="Hyperlink"/>
          <w:rFonts w:eastAsia="Times New Roman" w:cs="Times New Roman"/>
          <w:szCs w:val="24"/>
        </w:rPr>
        <w:t>AGRICULTURE AN</w:t>
      </w:r>
      <w:r w:rsidRPr="00B1478C">
        <w:rPr>
          <w:rStyle w:val="Hyperlink"/>
          <w:rFonts w:eastAsia="Times New Roman" w:cs="Times New Roman"/>
          <w:szCs w:val="24"/>
        </w:rPr>
        <w:t>D</w:t>
      </w:r>
      <w:r w:rsidRPr="00B1478C">
        <w:rPr>
          <w:rStyle w:val="Hyperlink"/>
          <w:rFonts w:eastAsia="Times New Roman" w:cs="Times New Roman"/>
          <w:szCs w:val="24"/>
        </w:rPr>
        <w:t xml:space="preserve"> R</w:t>
      </w:r>
      <w:r w:rsidRPr="00B1478C">
        <w:rPr>
          <w:rStyle w:val="Hyperlink"/>
          <w:rFonts w:eastAsia="Times New Roman" w:cs="Times New Roman"/>
          <w:szCs w:val="24"/>
        </w:rPr>
        <w:t>U</w:t>
      </w:r>
      <w:r w:rsidRPr="00B1478C">
        <w:rPr>
          <w:rStyle w:val="Hyperlink"/>
          <w:rFonts w:eastAsia="Times New Roman" w:cs="Times New Roman"/>
          <w:szCs w:val="24"/>
        </w:rPr>
        <w:t>RA</w:t>
      </w:r>
      <w:r w:rsidRPr="00B1478C">
        <w:rPr>
          <w:rStyle w:val="Hyperlink"/>
          <w:rFonts w:eastAsia="Times New Roman" w:cs="Times New Roman"/>
          <w:szCs w:val="24"/>
        </w:rPr>
        <w:t>L</w:t>
      </w:r>
      <w:r w:rsidRPr="00B1478C">
        <w:rPr>
          <w:rStyle w:val="Hyperlink"/>
          <w:rFonts w:eastAsia="Times New Roman" w:cs="Times New Roman"/>
          <w:szCs w:val="24"/>
        </w:rPr>
        <w:t xml:space="preserve"> </w:t>
      </w:r>
      <w:r w:rsidRPr="00B1478C">
        <w:rPr>
          <w:rStyle w:val="Hyperlink"/>
          <w:rFonts w:eastAsia="Times New Roman" w:cs="Times New Roman"/>
          <w:szCs w:val="24"/>
        </w:rPr>
        <w:t>DEVE</w:t>
      </w:r>
      <w:r w:rsidRPr="00B1478C">
        <w:rPr>
          <w:rStyle w:val="Hyperlink"/>
          <w:rFonts w:eastAsia="Times New Roman" w:cs="Times New Roman"/>
          <w:szCs w:val="24"/>
        </w:rPr>
        <w:t>L</w:t>
      </w:r>
      <w:r w:rsidRPr="00B1478C">
        <w:rPr>
          <w:rStyle w:val="Hyperlink"/>
          <w:rFonts w:eastAsia="Times New Roman" w:cs="Times New Roman"/>
          <w:szCs w:val="24"/>
        </w:rPr>
        <w:t>OP</w:t>
      </w:r>
      <w:r w:rsidRPr="00B1478C">
        <w:rPr>
          <w:rStyle w:val="Hyperlink"/>
          <w:rFonts w:eastAsia="Times New Roman" w:cs="Times New Roman"/>
          <w:szCs w:val="24"/>
        </w:rPr>
        <w:t>M</w:t>
      </w:r>
      <w:r w:rsidRPr="00B1478C">
        <w:rPr>
          <w:rStyle w:val="Hyperlink"/>
          <w:rFonts w:eastAsia="Times New Roman" w:cs="Times New Roman"/>
          <w:szCs w:val="24"/>
        </w:rPr>
        <w:t>ENT</w:t>
      </w:r>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r>
        <w:rPr>
          <w:rFonts w:eastAsia="Times New Roman" w:cs="Times New Roman"/>
          <w:color w:val="0000FF"/>
          <w:szCs w:val="24"/>
          <w:u w:val="single"/>
        </w:rPr>
        <w:fldChar w:fldCharType="end"/>
      </w:r>
      <w:hyperlink w:anchor="m_2889938815520070680__Toc519521630" w:history="1">
        <w:r w:rsidRPr="00B1478C">
          <w:rPr>
            <w:rFonts w:eastAsia="Times New Roman" w:cs="Times New Roman"/>
            <w:color w:val="0000FF"/>
            <w:szCs w:val="24"/>
            <w:u w:val="single"/>
          </w:rPr>
          <w:t>Climate change impact assessment on potential rubber cultiva</w:t>
        </w:r>
        <w:r w:rsidRPr="00B1478C">
          <w:rPr>
            <w:rFonts w:eastAsia="Times New Roman" w:cs="Times New Roman"/>
            <w:color w:val="0000FF"/>
            <w:szCs w:val="24"/>
            <w:u w:val="single"/>
          </w:rPr>
          <w:t>t</w:t>
        </w:r>
        <w:r w:rsidRPr="00B1478C">
          <w:rPr>
            <w:rFonts w:eastAsia="Times New Roman" w:cs="Times New Roman"/>
            <w:color w:val="0000FF"/>
            <w:szCs w:val="24"/>
            <w:u w:val="single"/>
          </w:rPr>
          <w:t xml:space="preserve">ing area in the Greater Mekong </w:t>
        </w:r>
        <w:proofErr w:type="spellStart"/>
        <w:r w:rsidRPr="00B1478C">
          <w:rPr>
            <w:rFonts w:eastAsia="Times New Roman" w:cs="Times New Roman"/>
            <w:color w:val="0000FF"/>
            <w:szCs w:val="24"/>
            <w:u w:val="single"/>
          </w:rPr>
          <w:t>Subregion</w:t>
        </w:r>
        <w:proofErr w:type="spellEnd"/>
        <w:r w:rsidRPr="00B1478C">
          <w:rPr>
            <w:rFonts w:eastAsia="Times New Roman" w:cs="Times New Roman"/>
            <w:color w:val="0000FF"/>
            <w:szCs w:val="24"/>
            <w:u w:val="single"/>
          </w:rPr>
          <w:t xml:space="preserve"> [Accepted Manuscript].</w:t>
        </w:r>
      </w:hyperlink>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hyperlink w:anchor="m_2889938815520070680__Toc519521631" w:history="1">
        <w:r w:rsidRPr="00B1478C">
          <w:rPr>
            <w:rFonts w:eastAsia="Times New Roman" w:cs="Times New Roman"/>
            <w:color w:val="0000FF"/>
            <w:szCs w:val="24"/>
            <w:u w:val="single"/>
          </w:rPr>
          <w:t>Ensuring a sustainable tropical fruit industry in the midst of climate change: the Vietnam story.</w:t>
        </w:r>
      </w:hyperlink>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hyperlink w:anchor="m_2889938815520070680__Toc519521632" w:history="1">
        <w:r w:rsidRPr="00B1478C">
          <w:rPr>
            <w:rFonts w:eastAsia="Times New Roman" w:cs="Times New Roman"/>
            <w:color w:val="0000FF"/>
            <w:szCs w:val="24"/>
            <w:u w:val="single"/>
          </w:rPr>
          <w:t xml:space="preserve">Improving the Technical Efficiency of </w:t>
        </w:r>
        <w:proofErr w:type="spellStart"/>
        <w:r w:rsidRPr="00B1478C">
          <w:rPr>
            <w:rFonts w:eastAsia="Times New Roman" w:cs="Times New Roman"/>
            <w:color w:val="0000FF"/>
            <w:szCs w:val="24"/>
            <w:u w:val="single"/>
          </w:rPr>
          <w:t>Sengcu</w:t>
        </w:r>
        <w:proofErr w:type="spellEnd"/>
        <w:r w:rsidRPr="00B1478C">
          <w:rPr>
            <w:rFonts w:eastAsia="Times New Roman" w:cs="Times New Roman"/>
            <w:color w:val="0000FF"/>
            <w:szCs w:val="24"/>
            <w:u w:val="single"/>
          </w:rPr>
          <w:t xml:space="preserve"> Rice Producers through Better Financial Management and Sustainable Farming Practices in Mountainous Areas of Vietnam.</w:t>
        </w:r>
      </w:hyperlink>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hyperlink w:anchor="m_2889938815520070680__Toc519521633" w:history="1">
        <w:r w:rsidRPr="00B1478C">
          <w:rPr>
            <w:rFonts w:eastAsia="Times New Roman" w:cs="Times New Roman"/>
            <w:color w:val="0000FF"/>
            <w:szCs w:val="24"/>
            <w:u w:val="single"/>
          </w:rPr>
          <w:t xml:space="preserve">Profitability of organic vegetable production in Northwest Vietnam: evidence from Tan Lac District, </w:t>
        </w:r>
        <w:proofErr w:type="spellStart"/>
        <w:r w:rsidRPr="00B1478C">
          <w:rPr>
            <w:rFonts w:eastAsia="Times New Roman" w:cs="Times New Roman"/>
            <w:color w:val="0000FF"/>
            <w:szCs w:val="24"/>
            <w:u w:val="single"/>
          </w:rPr>
          <w:t>Hoa</w:t>
        </w:r>
        <w:proofErr w:type="spellEnd"/>
        <w:r w:rsidRPr="00B1478C">
          <w:rPr>
            <w:rFonts w:eastAsia="Times New Roman" w:cs="Times New Roman"/>
            <w:color w:val="0000FF"/>
            <w:szCs w:val="24"/>
            <w:u w:val="single"/>
          </w:rPr>
          <w:t xml:space="preserve"> </w:t>
        </w:r>
        <w:proofErr w:type="spellStart"/>
        <w:r w:rsidRPr="00B1478C">
          <w:rPr>
            <w:rFonts w:eastAsia="Times New Roman" w:cs="Times New Roman"/>
            <w:color w:val="0000FF"/>
            <w:szCs w:val="24"/>
            <w:u w:val="single"/>
          </w:rPr>
          <w:t>Binh</w:t>
        </w:r>
        <w:proofErr w:type="spellEnd"/>
        <w:r w:rsidRPr="00B1478C">
          <w:rPr>
            <w:rFonts w:eastAsia="Times New Roman" w:cs="Times New Roman"/>
            <w:color w:val="0000FF"/>
            <w:szCs w:val="24"/>
            <w:u w:val="single"/>
          </w:rPr>
          <w:t xml:space="preserve"> Province.</w:t>
        </w:r>
      </w:hyperlink>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hyperlink w:anchor="m_2889938815520070680__Toc519521634" w:history="1">
        <w:r w:rsidRPr="00B1478C">
          <w:rPr>
            <w:rFonts w:eastAsia="Times New Roman" w:cs="Times New Roman"/>
            <w:color w:val="0000FF"/>
            <w:szCs w:val="24"/>
            <w:u w:val="single"/>
          </w:rPr>
          <w:t>Financial analysis and comparison of smallholder forest and state forest enterprise plantations in Central Vietnam.</w:t>
        </w:r>
      </w:hyperlink>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hyperlink w:anchor="m_2889938815520070680__Toc519521635" w:history="1">
        <w:r w:rsidRPr="00B1478C">
          <w:rPr>
            <w:rFonts w:eastAsia="Times New Roman" w:cs="Times New Roman"/>
            <w:color w:val="0000FF"/>
            <w:szCs w:val="24"/>
            <w:u w:val="single"/>
          </w:rPr>
          <w:t>Forest devolution in Vietnam: From rhetoric to performance.</w:t>
        </w:r>
      </w:hyperlink>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hyperlink w:anchor="m_2889938815520070680__Toc519521636" w:history="1">
        <w:r w:rsidRPr="00B1478C">
          <w:rPr>
            <w:rFonts w:eastAsia="Times New Roman" w:cs="Times New Roman"/>
            <w:color w:val="0000FF"/>
            <w:szCs w:val="24"/>
            <w:u w:val="single"/>
          </w:rPr>
          <w:t xml:space="preserve">Spatial pattern assessment of tropical forest fire danger at </w:t>
        </w:r>
        <w:proofErr w:type="spellStart"/>
        <w:r w:rsidRPr="00B1478C">
          <w:rPr>
            <w:rFonts w:eastAsia="Times New Roman" w:cs="Times New Roman"/>
            <w:color w:val="0000FF"/>
            <w:szCs w:val="24"/>
            <w:u w:val="single"/>
          </w:rPr>
          <w:t>Thuan</w:t>
        </w:r>
        <w:proofErr w:type="spellEnd"/>
        <w:r w:rsidRPr="00B1478C">
          <w:rPr>
            <w:rFonts w:eastAsia="Times New Roman" w:cs="Times New Roman"/>
            <w:color w:val="0000FF"/>
            <w:szCs w:val="24"/>
            <w:u w:val="single"/>
          </w:rPr>
          <w:t xml:space="preserve"> Chau area (Vietnam) using GIS-based advanced machine learning algorithms: A comparative study.</w:t>
        </w:r>
      </w:hyperlink>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hyperlink w:anchor="m_2889938815520070680__Toc519521637" w:history="1">
        <w:r w:rsidRPr="00B1478C">
          <w:rPr>
            <w:rFonts w:eastAsia="Times New Roman" w:cs="Times New Roman"/>
            <w:color w:val="0000FF"/>
            <w:szCs w:val="24"/>
            <w:u w:val="single"/>
          </w:rPr>
          <w:t>Willingness to pay for mangrove restoration in the context of climate change in the Cat Ba biosphere reserve, Vietnam.</w:t>
        </w:r>
      </w:hyperlink>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hyperlink w:anchor="m_2889938815520070680__Toc519521638" w:history="1">
        <w:r w:rsidRPr="00B1478C">
          <w:rPr>
            <w:rFonts w:eastAsia="Times New Roman" w:cs="Times New Roman"/>
            <w:color w:val="0000FF"/>
            <w:szCs w:val="24"/>
            <w:u w:val="single"/>
          </w:rPr>
          <w:t>Vietnam’s Post-1975 Agrarian Reforms: How local politics derailed socialist agriculture in southern Vietnam.</w:t>
        </w:r>
      </w:hyperlink>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hyperlink w:anchor="m_2889938815520070680__Toc519521639" w:history="1">
        <w:proofErr w:type="spellStart"/>
        <w:r w:rsidRPr="00B1478C">
          <w:rPr>
            <w:rFonts w:eastAsia="Times New Roman" w:cs="Times New Roman"/>
            <w:color w:val="0000FF"/>
            <w:szCs w:val="24"/>
            <w:u w:val="single"/>
          </w:rPr>
          <w:t>Trung</w:t>
        </w:r>
        <w:proofErr w:type="spellEnd"/>
        <w:r w:rsidRPr="00B1478C">
          <w:rPr>
            <w:rFonts w:eastAsia="Times New Roman" w:cs="Times New Roman"/>
            <w:color w:val="0000FF"/>
            <w:szCs w:val="24"/>
            <w:u w:val="single"/>
          </w:rPr>
          <w:t xml:space="preserve"> Dang. ANU Press, 2018.</w:t>
        </w:r>
      </w:hyperlink>
    </w:p>
    <w:p w:rsidR="00B1478C" w:rsidRPr="00B1478C" w:rsidRDefault="00B1478C" w:rsidP="00B1478C">
      <w:pPr>
        <w:numPr>
          <w:ilvl w:val="0"/>
          <w:numId w:val="1"/>
        </w:numPr>
        <w:spacing w:before="100" w:beforeAutospacing="1" w:after="100" w:afterAutospacing="1" w:line="240" w:lineRule="auto"/>
        <w:rPr>
          <w:rFonts w:eastAsia="Times New Roman" w:cs="Times New Roman"/>
          <w:szCs w:val="24"/>
        </w:rPr>
      </w:pPr>
      <w:hyperlink w:anchor="m_2889938815520070680__Toc519521640" w:history="1">
        <w:r w:rsidRPr="00B1478C">
          <w:rPr>
            <w:rFonts w:eastAsia="Times New Roman" w:cs="Times New Roman"/>
            <w:color w:val="0000FF"/>
            <w:szCs w:val="24"/>
            <w:u w:val="single"/>
          </w:rPr>
          <w:t>Managing Weather-Related Disasters in Southeast Asian Agriculture.</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641" w:history="1">
        <w:r w:rsidRPr="00B1478C">
          <w:rPr>
            <w:rFonts w:eastAsia="Times New Roman" w:cs="Times New Roman"/>
            <w:color w:val="0000FF"/>
            <w:szCs w:val="24"/>
            <w:u w:val="single"/>
          </w:rPr>
          <w:t>ECONOMIC DEVELOPMENT</w:t>
        </w:r>
      </w:hyperlink>
    </w:p>
    <w:p w:rsidR="00B1478C" w:rsidRPr="00B1478C" w:rsidRDefault="00B1478C" w:rsidP="00B1478C">
      <w:pPr>
        <w:numPr>
          <w:ilvl w:val="0"/>
          <w:numId w:val="2"/>
        </w:numPr>
        <w:spacing w:before="100" w:beforeAutospacing="1" w:after="100" w:afterAutospacing="1" w:line="240" w:lineRule="auto"/>
        <w:rPr>
          <w:rFonts w:eastAsia="Times New Roman" w:cs="Times New Roman"/>
          <w:szCs w:val="24"/>
        </w:rPr>
      </w:pPr>
      <w:hyperlink w:anchor="m_2889938815520070680__Toc519521642" w:history="1">
        <w:r w:rsidRPr="00B1478C">
          <w:rPr>
            <w:rFonts w:eastAsia="Times New Roman" w:cs="Times New Roman"/>
            <w:color w:val="0000FF"/>
            <w:szCs w:val="24"/>
            <w:u w:val="single"/>
          </w:rPr>
          <w:t>What Graphs do International Investors See in the ASEAN Capital Markets?</w:t>
        </w:r>
      </w:hyperlink>
    </w:p>
    <w:p w:rsidR="00B1478C" w:rsidRPr="00B1478C" w:rsidRDefault="00B1478C" w:rsidP="00B1478C">
      <w:pPr>
        <w:numPr>
          <w:ilvl w:val="0"/>
          <w:numId w:val="2"/>
        </w:numPr>
        <w:spacing w:before="100" w:beforeAutospacing="1" w:after="100" w:afterAutospacing="1" w:line="240" w:lineRule="auto"/>
        <w:rPr>
          <w:rFonts w:eastAsia="Times New Roman" w:cs="Times New Roman"/>
          <w:szCs w:val="24"/>
        </w:rPr>
      </w:pPr>
      <w:hyperlink w:anchor="m_2889938815520070680__Toc519521643" w:history="1">
        <w:r w:rsidRPr="00B1478C">
          <w:rPr>
            <w:rFonts w:eastAsia="Times New Roman" w:cs="Times New Roman"/>
            <w:color w:val="0000FF"/>
            <w:szCs w:val="24"/>
            <w:u w:val="single"/>
          </w:rPr>
          <w:t>Achievements and Problems in Vietnam: China Relations from 1991 to the Present.</w:t>
        </w:r>
      </w:hyperlink>
    </w:p>
    <w:p w:rsidR="00B1478C" w:rsidRPr="00B1478C" w:rsidRDefault="00B1478C" w:rsidP="00B1478C">
      <w:pPr>
        <w:numPr>
          <w:ilvl w:val="0"/>
          <w:numId w:val="2"/>
        </w:numPr>
        <w:spacing w:before="100" w:beforeAutospacing="1" w:after="100" w:afterAutospacing="1" w:line="240" w:lineRule="auto"/>
        <w:rPr>
          <w:rFonts w:eastAsia="Times New Roman" w:cs="Times New Roman"/>
          <w:szCs w:val="24"/>
        </w:rPr>
      </w:pPr>
      <w:hyperlink w:anchor="m_2889938815520070680__Toc519521644" w:history="1">
        <w:r w:rsidRPr="00B1478C">
          <w:rPr>
            <w:rFonts w:eastAsia="Times New Roman" w:cs="Times New Roman"/>
            <w:color w:val="0000FF"/>
            <w:szCs w:val="24"/>
            <w:u w:val="single"/>
          </w:rPr>
          <w:t>The painting can be fake, but not the feeling’: an overview of the Vietnamese market through the lens of fake, forgery and copy paintings.</w:t>
        </w:r>
      </w:hyperlink>
    </w:p>
    <w:p w:rsidR="00B1478C" w:rsidRPr="00B1478C" w:rsidRDefault="00B1478C" w:rsidP="00B1478C">
      <w:pPr>
        <w:numPr>
          <w:ilvl w:val="0"/>
          <w:numId w:val="2"/>
        </w:numPr>
        <w:spacing w:before="100" w:beforeAutospacing="1" w:after="100" w:afterAutospacing="1" w:line="240" w:lineRule="auto"/>
        <w:rPr>
          <w:rFonts w:eastAsia="Times New Roman" w:cs="Times New Roman"/>
          <w:szCs w:val="24"/>
        </w:rPr>
      </w:pPr>
      <w:hyperlink w:anchor="m_2889938815520070680__Toc519521645" w:history="1">
        <w:r w:rsidRPr="00B1478C">
          <w:rPr>
            <w:rFonts w:eastAsia="Times New Roman" w:cs="Times New Roman"/>
            <w:color w:val="0000FF"/>
            <w:szCs w:val="24"/>
            <w:u w:val="single"/>
          </w:rPr>
          <w:t>Vietnam's Low National Competitiveness: Causes, Implications and Suggestions for Improvement.</w:t>
        </w:r>
      </w:hyperlink>
    </w:p>
    <w:p w:rsidR="00B1478C" w:rsidRPr="00B1478C" w:rsidRDefault="00B1478C" w:rsidP="00B1478C">
      <w:pPr>
        <w:numPr>
          <w:ilvl w:val="0"/>
          <w:numId w:val="2"/>
        </w:numPr>
        <w:spacing w:before="100" w:beforeAutospacing="1" w:after="100" w:afterAutospacing="1" w:line="240" w:lineRule="auto"/>
        <w:rPr>
          <w:rFonts w:eastAsia="Times New Roman" w:cs="Times New Roman"/>
          <w:szCs w:val="24"/>
        </w:rPr>
      </w:pPr>
      <w:hyperlink w:anchor="m_2889938815520070680__Toc519521646" w:history="1">
        <w:proofErr w:type="gramStart"/>
        <w:r w:rsidRPr="00B1478C">
          <w:rPr>
            <w:rFonts w:eastAsia="Times New Roman" w:cs="Times New Roman"/>
            <w:color w:val="0000FF"/>
            <w:szCs w:val="24"/>
            <w:u w:val="single"/>
          </w:rPr>
          <w:t>Vietnam :</w:t>
        </w:r>
        <w:proofErr w:type="gramEnd"/>
        <w:r w:rsidRPr="00B1478C">
          <w:rPr>
            <w:rFonts w:eastAsia="Times New Roman" w:cs="Times New Roman"/>
            <w:color w:val="0000FF"/>
            <w:szCs w:val="24"/>
            <w:u w:val="single"/>
          </w:rPr>
          <w:t xml:space="preserve"> 2018 Article IV Consultation-Press Release and Staff Report.</w:t>
        </w:r>
      </w:hyperlink>
    </w:p>
    <w:p w:rsidR="00B1478C" w:rsidRPr="00B1478C" w:rsidRDefault="00B1478C" w:rsidP="00B1478C">
      <w:pPr>
        <w:numPr>
          <w:ilvl w:val="0"/>
          <w:numId w:val="2"/>
        </w:numPr>
        <w:spacing w:before="100" w:beforeAutospacing="1" w:after="100" w:afterAutospacing="1" w:line="240" w:lineRule="auto"/>
        <w:rPr>
          <w:rFonts w:eastAsia="Times New Roman" w:cs="Times New Roman"/>
          <w:szCs w:val="24"/>
        </w:rPr>
      </w:pPr>
      <w:hyperlink w:anchor="m_2889938815520070680__Toc519521647" w:history="1">
        <w:proofErr w:type="gramStart"/>
        <w:r w:rsidRPr="00B1478C">
          <w:rPr>
            <w:rFonts w:eastAsia="Times New Roman" w:cs="Times New Roman"/>
            <w:color w:val="0000FF"/>
            <w:szCs w:val="24"/>
            <w:u w:val="single"/>
          </w:rPr>
          <w:t>Vietnam :</w:t>
        </w:r>
        <w:proofErr w:type="gramEnd"/>
        <w:r w:rsidRPr="00B1478C">
          <w:rPr>
            <w:rFonts w:eastAsia="Times New Roman" w:cs="Times New Roman"/>
            <w:color w:val="0000FF"/>
            <w:szCs w:val="24"/>
            <w:u w:val="single"/>
          </w:rPr>
          <w:t xml:space="preserve"> Selected Issues.</w:t>
        </w:r>
      </w:hyperlink>
    </w:p>
    <w:p w:rsidR="00B1478C" w:rsidRPr="00B1478C" w:rsidRDefault="00B1478C" w:rsidP="00B1478C">
      <w:pPr>
        <w:numPr>
          <w:ilvl w:val="0"/>
          <w:numId w:val="2"/>
        </w:numPr>
        <w:spacing w:before="100" w:beforeAutospacing="1" w:after="100" w:afterAutospacing="1" w:line="240" w:lineRule="auto"/>
        <w:rPr>
          <w:rFonts w:eastAsia="Times New Roman" w:cs="Times New Roman"/>
          <w:szCs w:val="24"/>
        </w:rPr>
      </w:pPr>
      <w:hyperlink w:anchor="m_2889938815520070680__Toc519521648" w:history="1">
        <w:r w:rsidRPr="00B1478C">
          <w:rPr>
            <w:rFonts w:eastAsia="Times New Roman" w:cs="Times New Roman"/>
            <w:color w:val="0000FF"/>
            <w:szCs w:val="24"/>
            <w:u w:val="single"/>
          </w:rPr>
          <w:t>The Impact of Institutional Distance on the Choice of Multinational Enterprise's Entry Mode: Theory and Empirical Evidence from Vietnam.</w:t>
        </w:r>
      </w:hyperlink>
    </w:p>
    <w:p w:rsidR="00B1478C" w:rsidRPr="00B1478C" w:rsidRDefault="00B1478C" w:rsidP="00B1478C">
      <w:pPr>
        <w:numPr>
          <w:ilvl w:val="0"/>
          <w:numId w:val="2"/>
        </w:numPr>
        <w:spacing w:before="100" w:beforeAutospacing="1" w:after="100" w:afterAutospacing="1" w:line="240" w:lineRule="auto"/>
        <w:rPr>
          <w:rFonts w:eastAsia="Times New Roman" w:cs="Times New Roman"/>
          <w:szCs w:val="24"/>
        </w:rPr>
      </w:pPr>
      <w:hyperlink w:anchor="m_2889938815520070680__Toc519521649" w:history="1">
        <w:r w:rsidRPr="00B1478C">
          <w:rPr>
            <w:rFonts w:eastAsia="Times New Roman" w:cs="Times New Roman"/>
            <w:color w:val="0000FF"/>
            <w:szCs w:val="24"/>
            <w:u w:val="single"/>
          </w:rPr>
          <w:t>Operating the impossible trinity before and after the global financial crisis 2007-2008: evidence in Vietnam.</w:t>
        </w:r>
      </w:hyperlink>
    </w:p>
    <w:p w:rsidR="00B1478C" w:rsidRPr="00B1478C" w:rsidRDefault="00B1478C" w:rsidP="00B1478C">
      <w:pPr>
        <w:numPr>
          <w:ilvl w:val="0"/>
          <w:numId w:val="2"/>
        </w:numPr>
        <w:spacing w:before="100" w:beforeAutospacing="1" w:after="100" w:afterAutospacing="1" w:line="240" w:lineRule="auto"/>
        <w:rPr>
          <w:rFonts w:eastAsia="Times New Roman" w:cs="Times New Roman"/>
          <w:szCs w:val="24"/>
        </w:rPr>
      </w:pPr>
      <w:hyperlink w:anchor="m_2889938815520070680__Toc519521650" w:history="1">
        <w:r w:rsidRPr="00B1478C">
          <w:rPr>
            <w:rFonts w:eastAsia="Times New Roman" w:cs="Times New Roman"/>
            <w:color w:val="0000FF"/>
            <w:szCs w:val="24"/>
            <w:u w:val="single"/>
          </w:rPr>
          <w:t>Recent trade dynamics in Asia: Examples from specific industries.</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651" w:history="1">
        <w:r w:rsidRPr="00B1478C">
          <w:rPr>
            <w:rFonts w:eastAsia="Times New Roman" w:cs="Times New Roman"/>
            <w:color w:val="0000FF"/>
            <w:szCs w:val="24"/>
            <w:u w:val="single"/>
          </w:rPr>
          <w:t>EDUCATION</w:t>
        </w:r>
      </w:hyperlink>
    </w:p>
    <w:p w:rsidR="00B1478C" w:rsidRPr="00B1478C" w:rsidRDefault="00B1478C" w:rsidP="00B1478C">
      <w:pPr>
        <w:numPr>
          <w:ilvl w:val="0"/>
          <w:numId w:val="3"/>
        </w:numPr>
        <w:spacing w:before="100" w:beforeAutospacing="1" w:after="100" w:afterAutospacing="1" w:line="240" w:lineRule="auto"/>
        <w:rPr>
          <w:rFonts w:eastAsia="Times New Roman" w:cs="Times New Roman"/>
          <w:szCs w:val="24"/>
        </w:rPr>
      </w:pPr>
      <w:hyperlink w:anchor="m_2889938815520070680__Toc519521652" w:history="1">
        <w:r w:rsidRPr="00B1478C">
          <w:rPr>
            <w:rFonts w:eastAsia="Times New Roman" w:cs="Times New Roman"/>
            <w:color w:val="0000FF"/>
            <w:szCs w:val="24"/>
            <w:u w:val="single"/>
          </w:rPr>
          <w:t xml:space="preserve">Digital Access, Use and Skills </w:t>
        </w:r>
        <w:proofErr w:type="gramStart"/>
        <w:r w:rsidRPr="00B1478C">
          <w:rPr>
            <w:rFonts w:eastAsia="Times New Roman" w:cs="Times New Roman"/>
            <w:color w:val="0000FF"/>
            <w:szCs w:val="24"/>
            <w:u w:val="single"/>
          </w:rPr>
          <w:t>Across</w:t>
        </w:r>
        <w:proofErr w:type="gramEnd"/>
        <w:r w:rsidRPr="00B1478C">
          <w:rPr>
            <w:rFonts w:eastAsia="Times New Roman" w:cs="Times New Roman"/>
            <w:color w:val="0000FF"/>
            <w:szCs w:val="24"/>
            <w:u w:val="single"/>
          </w:rPr>
          <w:t xml:space="preserve"> Four Countries: Construction of Scales and Preliminary Results from the Young Lives Round 5 Survey.</w:t>
        </w:r>
      </w:hyperlink>
    </w:p>
    <w:p w:rsidR="00B1478C" w:rsidRPr="00B1478C" w:rsidRDefault="00B1478C" w:rsidP="00B1478C">
      <w:pPr>
        <w:numPr>
          <w:ilvl w:val="0"/>
          <w:numId w:val="3"/>
        </w:numPr>
        <w:spacing w:before="100" w:beforeAutospacing="1" w:after="100" w:afterAutospacing="1" w:line="240" w:lineRule="auto"/>
        <w:rPr>
          <w:rFonts w:eastAsia="Times New Roman" w:cs="Times New Roman"/>
          <w:szCs w:val="24"/>
        </w:rPr>
      </w:pPr>
      <w:hyperlink w:anchor="m_2889938815520070680__Toc519521653" w:history="1">
        <w:r w:rsidRPr="00B1478C">
          <w:rPr>
            <w:rFonts w:eastAsia="Times New Roman" w:cs="Times New Roman"/>
            <w:color w:val="0000FF"/>
            <w:szCs w:val="24"/>
            <w:u w:val="single"/>
          </w:rPr>
          <w:t>The Long-Run and Gender-Equalizing Impacts of School Access: Evidence from the First Indochina War.</w:t>
        </w:r>
      </w:hyperlink>
    </w:p>
    <w:p w:rsidR="00B1478C" w:rsidRPr="00B1478C" w:rsidRDefault="00B1478C" w:rsidP="00B1478C">
      <w:pPr>
        <w:numPr>
          <w:ilvl w:val="0"/>
          <w:numId w:val="3"/>
        </w:numPr>
        <w:spacing w:before="100" w:beforeAutospacing="1" w:after="100" w:afterAutospacing="1" w:line="240" w:lineRule="auto"/>
        <w:rPr>
          <w:rFonts w:eastAsia="Times New Roman" w:cs="Times New Roman"/>
          <w:szCs w:val="24"/>
        </w:rPr>
      </w:pPr>
      <w:hyperlink w:anchor="m_2889938815520070680__Toc519521654" w:history="1">
        <w:r w:rsidRPr="00B1478C">
          <w:rPr>
            <w:rFonts w:eastAsia="Times New Roman" w:cs="Times New Roman"/>
            <w:color w:val="0000FF"/>
            <w:szCs w:val="24"/>
            <w:u w:val="single"/>
          </w:rPr>
          <w:t>Varied patterns of catch-up in child growth: Evidence from Young Lives.</w:t>
        </w:r>
      </w:hyperlink>
    </w:p>
    <w:p w:rsidR="00B1478C" w:rsidRPr="00B1478C" w:rsidRDefault="00B1478C" w:rsidP="00B1478C">
      <w:pPr>
        <w:numPr>
          <w:ilvl w:val="0"/>
          <w:numId w:val="3"/>
        </w:numPr>
        <w:spacing w:before="100" w:beforeAutospacing="1" w:after="100" w:afterAutospacing="1" w:line="240" w:lineRule="auto"/>
        <w:rPr>
          <w:rFonts w:eastAsia="Times New Roman" w:cs="Times New Roman"/>
          <w:szCs w:val="24"/>
        </w:rPr>
      </w:pPr>
      <w:hyperlink w:anchor="m_2889938815520070680__Toc519521655" w:history="1">
        <w:r w:rsidRPr="00B1478C">
          <w:rPr>
            <w:rFonts w:eastAsia="Times New Roman" w:cs="Times New Roman"/>
            <w:color w:val="0000FF"/>
            <w:szCs w:val="24"/>
            <w:u w:val="single"/>
          </w:rPr>
          <w:t>Well Begun, But Aiming Higher: A Review of Vietnam's Education Trends in the Past 20 Years and Emerging Challenges.</w:t>
        </w:r>
      </w:hyperlink>
    </w:p>
    <w:p w:rsidR="00B1478C" w:rsidRPr="00B1478C" w:rsidRDefault="00B1478C" w:rsidP="00B1478C">
      <w:pPr>
        <w:numPr>
          <w:ilvl w:val="0"/>
          <w:numId w:val="3"/>
        </w:numPr>
        <w:spacing w:before="100" w:beforeAutospacing="1" w:after="100" w:afterAutospacing="1" w:line="240" w:lineRule="auto"/>
        <w:rPr>
          <w:rFonts w:eastAsia="Times New Roman" w:cs="Times New Roman"/>
          <w:szCs w:val="24"/>
        </w:rPr>
      </w:pPr>
      <w:hyperlink w:anchor="m_2889938815520070680__Toc519521656" w:history="1">
        <w:r w:rsidRPr="00B1478C">
          <w:rPr>
            <w:rFonts w:eastAsia="Times New Roman" w:cs="Times New Roman"/>
            <w:color w:val="0000FF"/>
            <w:szCs w:val="24"/>
            <w:u w:val="single"/>
          </w:rPr>
          <w:t>External stakeholders’ roles and factors influencing their participation in developing generic skills for students in Vietnamese universities.</w:t>
        </w:r>
      </w:hyperlink>
    </w:p>
    <w:p w:rsidR="00B1478C" w:rsidRPr="00B1478C" w:rsidRDefault="00B1478C" w:rsidP="00B1478C">
      <w:pPr>
        <w:numPr>
          <w:ilvl w:val="0"/>
          <w:numId w:val="3"/>
        </w:numPr>
        <w:spacing w:before="100" w:beforeAutospacing="1" w:after="100" w:afterAutospacing="1" w:line="240" w:lineRule="auto"/>
        <w:rPr>
          <w:rFonts w:eastAsia="Times New Roman" w:cs="Times New Roman"/>
          <w:szCs w:val="24"/>
        </w:rPr>
      </w:pPr>
      <w:hyperlink w:anchor="m_2889938815520070680__Toc519521657" w:history="1">
        <w:r w:rsidRPr="00B1478C">
          <w:rPr>
            <w:rFonts w:eastAsia="Times New Roman" w:cs="Times New Roman"/>
            <w:color w:val="0000FF"/>
            <w:szCs w:val="24"/>
            <w:u w:val="single"/>
          </w:rPr>
          <w:t>Performance of private higher education institutions in Vietnam: evidence using DEA-based bootstrap directional distance approach with quasi-fixed inputs.</w:t>
        </w:r>
      </w:hyperlink>
    </w:p>
    <w:p w:rsidR="00B1478C" w:rsidRPr="00B1478C" w:rsidRDefault="00B1478C" w:rsidP="00B1478C">
      <w:pPr>
        <w:numPr>
          <w:ilvl w:val="0"/>
          <w:numId w:val="3"/>
        </w:numPr>
        <w:spacing w:before="100" w:beforeAutospacing="1" w:after="100" w:afterAutospacing="1" w:line="240" w:lineRule="auto"/>
        <w:rPr>
          <w:rFonts w:eastAsia="Times New Roman" w:cs="Times New Roman"/>
          <w:szCs w:val="24"/>
        </w:rPr>
      </w:pPr>
      <w:hyperlink w:anchor="m_2889938815520070680__Toc519521658" w:history="1">
        <w:r w:rsidRPr="00B1478C">
          <w:rPr>
            <w:rFonts w:eastAsia="Times New Roman" w:cs="Times New Roman"/>
            <w:color w:val="0000FF"/>
            <w:szCs w:val="24"/>
            <w:u w:val="single"/>
          </w:rPr>
          <w:t xml:space="preserve">University curriculum reforms in Vietnam 1986-2015: knowledge, </w:t>
        </w:r>
        <w:proofErr w:type="spellStart"/>
        <w:r w:rsidRPr="00B1478C">
          <w:rPr>
            <w:rFonts w:eastAsia="Times New Roman" w:cs="Times New Roman"/>
            <w:color w:val="0000FF"/>
            <w:szCs w:val="24"/>
            <w:u w:val="single"/>
          </w:rPr>
          <w:t>specialisation</w:t>
        </w:r>
        <w:proofErr w:type="spellEnd"/>
        <w:r w:rsidRPr="00B1478C">
          <w:rPr>
            <w:rFonts w:eastAsia="Times New Roman" w:cs="Times New Roman"/>
            <w:color w:val="0000FF"/>
            <w:szCs w:val="24"/>
            <w:u w:val="single"/>
          </w:rPr>
          <w:t xml:space="preserve"> and social order [PhD thesis].</w:t>
        </w:r>
      </w:hyperlink>
    </w:p>
    <w:p w:rsidR="00B1478C" w:rsidRPr="00B1478C" w:rsidRDefault="00B1478C" w:rsidP="00B1478C">
      <w:pPr>
        <w:numPr>
          <w:ilvl w:val="0"/>
          <w:numId w:val="3"/>
        </w:numPr>
        <w:spacing w:before="100" w:beforeAutospacing="1" w:after="100" w:afterAutospacing="1" w:line="240" w:lineRule="auto"/>
        <w:rPr>
          <w:rFonts w:eastAsia="Times New Roman" w:cs="Times New Roman"/>
          <w:szCs w:val="24"/>
        </w:rPr>
      </w:pPr>
      <w:hyperlink w:anchor="m_2889938815520070680__Toc519521659" w:history="1">
        <w:r w:rsidRPr="00B1478C">
          <w:rPr>
            <w:rFonts w:eastAsia="Times New Roman" w:cs="Times New Roman"/>
            <w:color w:val="0000FF"/>
            <w:szCs w:val="24"/>
            <w:u w:val="single"/>
          </w:rPr>
          <w:t>English Tertiary Education in Vietnam: Foreign language policy and nation building.</w:t>
        </w:r>
      </w:hyperlink>
    </w:p>
    <w:p w:rsidR="00B1478C" w:rsidRPr="00B1478C" w:rsidRDefault="00B1478C" w:rsidP="00B1478C">
      <w:pPr>
        <w:numPr>
          <w:ilvl w:val="0"/>
          <w:numId w:val="3"/>
        </w:numPr>
        <w:spacing w:before="100" w:beforeAutospacing="1" w:after="100" w:afterAutospacing="1" w:line="240" w:lineRule="auto"/>
        <w:rPr>
          <w:rFonts w:eastAsia="Times New Roman" w:cs="Times New Roman"/>
          <w:szCs w:val="24"/>
        </w:rPr>
      </w:pPr>
      <w:hyperlink w:anchor="m_2889938815520070680__Toc519521660" w:history="1">
        <w:r w:rsidRPr="00B1478C">
          <w:rPr>
            <w:rFonts w:eastAsia="Times New Roman" w:cs="Times New Roman"/>
            <w:color w:val="0000FF"/>
            <w:szCs w:val="24"/>
            <w:u w:val="single"/>
          </w:rPr>
          <w:t>Impact Factors on Using of E-learning System and Learning Achievement of Students at Several Universities in Vietnam.</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661" w:history="1">
        <w:r w:rsidRPr="00B1478C">
          <w:rPr>
            <w:rFonts w:eastAsia="Times New Roman" w:cs="Times New Roman"/>
            <w:color w:val="0000FF"/>
            <w:szCs w:val="24"/>
            <w:u w:val="single"/>
          </w:rPr>
          <w:t>ENVIRONMENT</w:t>
        </w:r>
      </w:hyperlink>
    </w:p>
    <w:p w:rsidR="00B1478C" w:rsidRPr="00B1478C" w:rsidRDefault="00B1478C" w:rsidP="00B1478C">
      <w:pPr>
        <w:numPr>
          <w:ilvl w:val="0"/>
          <w:numId w:val="4"/>
        </w:numPr>
        <w:spacing w:before="100" w:beforeAutospacing="1" w:after="100" w:afterAutospacing="1" w:line="240" w:lineRule="auto"/>
        <w:rPr>
          <w:rFonts w:eastAsia="Times New Roman" w:cs="Times New Roman"/>
          <w:szCs w:val="24"/>
        </w:rPr>
      </w:pPr>
      <w:hyperlink w:anchor="m_2889938815520070680__Toc519521662" w:history="1">
        <w:r w:rsidRPr="00B1478C">
          <w:rPr>
            <w:rFonts w:eastAsia="Times New Roman" w:cs="Times New Roman"/>
            <w:color w:val="0000FF"/>
            <w:szCs w:val="24"/>
            <w:u w:val="single"/>
          </w:rPr>
          <w:t>Exploring the link between equity and effectiveness in Payments for Ecosystem Services: A field experiment in Vietnam.</w:t>
        </w:r>
      </w:hyperlink>
    </w:p>
    <w:p w:rsidR="00B1478C" w:rsidRPr="00B1478C" w:rsidRDefault="00B1478C" w:rsidP="00B1478C">
      <w:pPr>
        <w:numPr>
          <w:ilvl w:val="0"/>
          <w:numId w:val="4"/>
        </w:numPr>
        <w:spacing w:before="100" w:beforeAutospacing="1" w:after="100" w:afterAutospacing="1" w:line="240" w:lineRule="auto"/>
        <w:rPr>
          <w:rFonts w:eastAsia="Times New Roman" w:cs="Times New Roman"/>
          <w:szCs w:val="24"/>
        </w:rPr>
      </w:pPr>
      <w:hyperlink w:anchor="m_2889938815520070680__Toc519521663" w:history="1">
        <w:r w:rsidRPr="00B1478C">
          <w:rPr>
            <w:rFonts w:eastAsia="Times New Roman" w:cs="Times New Roman"/>
            <w:color w:val="0000FF"/>
            <w:szCs w:val="24"/>
            <w:u w:val="single"/>
          </w:rPr>
          <w:t>Incorporation of rice straw mitigates CH4 and N2O emissions in water saving paddy fields of Central Vietnam.</w:t>
        </w:r>
      </w:hyperlink>
    </w:p>
    <w:p w:rsidR="00B1478C" w:rsidRPr="00B1478C" w:rsidRDefault="00B1478C" w:rsidP="00B1478C">
      <w:pPr>
        <w:numPr>
          <w:ilvl w:val="0"/>
          <w:numId w:val="4"/>
        </w:numPr>
        <w:spacing w:before="100" w:beforeAutospacing="1" w:after="100" w:afterAutospacing="1" w:line="240" w:lineRule="auto"/>
        <w:rPr>
          <w:rFonts w:eastAsia="Times New Roman" w:cs="Times New Roman"/>
          <w:szCs w:val="24"/>
        </w:rPr>
      </w:pPr>
      <w:hyperlink w:anchor="m_2889938815520070680__Toc519521664" w:history="1">
        <w:r w:rsidRPr="00B1478C">
          <w:rPr>
            <w:rFonts w:eastAsia="Times New Roman" w:cs="Times New Roman"/>
            <w:color w:val="0000FF"/>
            <w:szCs w:val="24"/>
            <w:u w:val="single"/>
          </w:rPr>
          <w:t>Urban Climate Challenges in Hanoi: Urban Heat Islands and Global Warming.</w:t>
        </w:r>
      </w:hyperlink>
    </w:p>
    <w:p w:rsidR="00B1478C" w:rsidRPr="00B1478C" w:rsidRDefault="00B1478C" w:rsidP="00B1478C">
      <w:pPr>
        <w:numPr>
          <w:ilvl w:val="0"/>
          <w:numId w:val="4"/>
        </w:numPr>
        <w:spacing w:before="100" w:beforeAutospacing="1" w:after="100" w:afterAutospacing="1" w:line="240" w:lineRule="auto"/>
        <w:rPr>
          <w:rFonts w:eastAsia="Times New Roman" w:cs="Times New Roman"/>
          <w:szCs w:val="24"/>
        </w:rPr>
      </w:pPr>
      <w:hyperlink w:anchor="m_2889938815520070680__Toc519521665" w:history="1">
        <w:r w:rsidRPr="00B1478C">
          <w:rPr>
            <w:rFonts w:eastAsia="Times New Roman" w:cs="Times New Roman"/>
            <w:color w:val="0000FF"/>
            <w:szCs w:val="24"/>
            <w:u w:val="single"/>
          </w:rPr>
          <w:t>Exploratory assessment of outdoor and indoor airborne black carbon in different locations of Hanoi, Vietnam.</w:t>
        </w:r>
      </w:hyperlink>
    </w:p>
    <w:p w:rsidR="00B1478C" w:rsidRPr="00B1478C" w:rsidRDefault="00B1478C" w:rsidP="00B1478C">
      <w:pPr>
        <w:numPr>
          <w:ilvl w:val="0"/>
          <w:numId w:val="4"/>
        </w:numPr>
        <w:spacing w:before="100" w:beforeAutospacing="1" w:after="100" w:afterAutospacing="1" w:line="240" w:lineRule="auto"/>
        <w:rPr>
          <w:rFonts w:eastAsia="Times New Roman" w:cs="Times New Roman"/>
          <w:szCs w:val="24"/>
        </w:rPr>
      </w:pPr>
      <w:hyperlink w:anchor="m_2889938815520070680__Toc519521666" w:history="1">
        <w:r w:rsidRPr="00B1478C">
          <w:rPr>
            <w:rFonts w:eastAsia="Times New Roman" w:cs="Times New Roman"/>
            <w:color w:val="0000FF"/>
            <w:szCs w:val="24"/>
            <w:u w:val="single"/>
          </w:rPr>
          <w:t xml:space="preserve">The hidden threat of heavy metal pollution in high sedimentation and highly dynamic environment: Assessment of metal accumulation rates in the </w:t>
        </w:r>
        <w:proofErr w:type="spellStart"/>
        <w:r w:rsidRPr="00B1478C">
          <w:rPr>
            <w:rFonts w:eastAsia="Times New Roman" w:cs="Times New Roman"/>
            <w:color w:val="0000FF"/>
            <w:szCs w:val="24"/>
            <w:u w:val="single"/>
          </w:rPr>
          <w:t>Thi</w:t>
        </w:r>
        <w:proofErr w:type="spellEnd"/>
        <w:r w:rsidRPr="00B1478C">
          <w:rPr>
            <w:rFonts w:eastAsia="Times New Roman" w:cs="Times New Roman"/>
            <w:color w:val="0000FF"/>
            <w:szCs w:val="24"/>
            <w:u w:val="single"/>
          </w:rPr>
          <w:t xml:space="preserve"> </w:t>
        </w:r>
        <w:proofErr w:type="spellStart"/>
        <w:r w:rsidRPr="00B1478C">
          <w:rPr>
            <w:rFonts w:eastAsia="Times New Roman" w:cs="Times New Roman"/>
            <w:color w:val="0000FF"/>
            <w:szCs w:val="24"/>
            <w:u w:val="single"/>
          </w:rPr>
          <w:t>Vai</w:t>
        </w:r>
        <w:proofErr w:type="spellEnd"/>
        <w:r w:rsidRPr="00B1478C">
          <w:rPr>
            <w:rFonts w:eastAsia="Times New Roman" w:cs="Times New Roman"/>
            <w:color w:val="0000FF"/>
            <w:szCs w:val="24"/>
            <w:u w:val="single"/>
          </w:rPr>
          <w:t xml:space="preserve"> Estuary, Southern Vietnam.</w:t>
        </w:r>
      </w:hyperlink>
    </w:p>
    <w:p w:rsidR="00B1478C" w:rsidRPr="00B1478C" w:rsidRDefault="00B1478C" w:rsidP="00B1478C">
      <w:pPr>
        <w:numPr>
          <w:ilvl w:val="0"/>
          <w:numId w:val="4"/>
        </w:numPr>
        <w:spacing w:before="100" w:beforeAutospacing="1" w:after="100" w:afterAutospacing="1" w:line="240" w:lineRule="auto"/>
        <w:rPr>
          <w:rFonts w:eastAsia="Times New Roman" w:cs="Times New Roman"/>
          <w:szCs w:val="24"/>
        </w:rPr>
      </w:pPr>
      <w:hyperlink w:anchor="m_2889938815520070680__Toc519521667" w:history="1">
        <w:r w:rsidRPr="00B1478C">
          <w:rPr>
            <w:rFonts w:eastAsia="Times New Roman" w:cs="Times New Roman"/>
            <w:color w:val="0000FF"/>
            <w:szCs w:val="24"/>
            <w:u w:val="single"/>
          </w:rPr>
          <w:t xml:space="preserve">Metals and arsenic in sediment and fish from </w:t>
        </w:r>
        <w:proofErr w:type="spellStart"/>
        <w:r w:rsidRPr="00B1478C">
          <w:rPr>
            <w:rFonts w:eastAsia="Times New Roman" w:cs="Times New Roman"/>
            <w:color w:val="0000FF"/>
            <w:szCs w:val="24"/>
            <w:u w:val="single"/>
          </w:rPr>
          <w:t>Cau</w:t>
        </w:r>
        <w:proofErr w:type="spellEnd"/>
        <w:r w:rsidRPr="00B1478C">
          <w:rPr>
            <w:rFonts w:eastAsia="Times New Roman" w:cs="Times New Roman"/>
            <w:color w:val="0000FF"/>
            <w:szCs w:val="24"/>
            <w:u w:val="single"/>
          </w:rPr>
          <w:t xml:space="preserve"> Hai lagoon in Vietnam: Ecological and human health risks.</w:t>
        </w:r>
      </w:hyperlink>
    </w:p>
    <w:p w:rsidR="00B1478C" w:rsidRPr="00B1478C" w:rsidRDefault="00B1478C" w:rsidP="00B1478C">
      <w:pPr>
        <w:numPr>
          <w:ilvl w:val="0"/>
          <w:numId w:val="4"/>
        </w:numPr>
        <w:spacing w:before="100" w:beforeAutospacing="1" w:after="100" w:afterAutospacing="1" w:line="240" w:lineRule="auto"/>
        <w:rPr>
          <w:rFonts w:eastAsia="Times New Roman" w:cs="Times New Roman"/>
          <w:szCs w:val="24"/>
        </w:rPr>
      </w:pPr>
      <w:hyperlink w:anchor="m_2889938815520070680__Toc519521668" w:history="1">
        <w:r w:rsidRPr="00B1478C">
          <w:rPr>
            <w:rFonts w:eastAsia="Times New Roman" w:cs="Times New Roman"/>
            <w:color w:val="0000FF"/>
            <w:szCs w:val="24"/>
            <w:u w:val="single"/>
          </w:rPr>
          <w:t>Understanding the Stakeholders’ Involvement in Utilizing Municipal Solid Waste in Agriculture through Composting: A Case Study of Hanoi, Vietnam.</w:t>
        </w:r>
      </w:hyperlink>
    </w:p>
    <w:p w:rsidR="00B1478C" w:rsidRPr="00B1478C" w:rsidRDefault="00B1478C" w:rsidP="00B1478C">
      <w:pPr>
        <w:numPr>
          <w:ilvl w:val="0"/>
          <w:numId w:val="4"/>
        </w:numPr>
        <w:spacing w:before="100" w:beforeAutospacing="1" w:after="100" w:afterAutospacing="1" w:line="240" w:lineRule="auto"/>
        <w:rPr>
          <w:rFonts w:eastAsia="Times New Roman" w:cs="Times New Roman"/>
          <w:szCs w:val="24"/>
        </w:rPr>
      </w:pPr>
      <w:hyperlink w:anchor="m_2889938815520070680__Toc519521669" w:history="1">
        <w:r w:rsidRPr="00B1478C">
          <w:rPr>
            <w:rFonts w:eastAsia="Times New Roman" w:cs="Times New Roman"/>
            <w:color w:val="0000FF"/>
            <w:szCs w:val="24"/>
            <w:u w:val="single"/>
          </w:rPr>
          <w:t>The challenges and conservation implications of bear bile farming in Viet Nam.</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670" w:history="1">
        <w:r w:rsidRPr="00B1478C">
          <w:rPr>
            <w:rFonts w:eastAsia="Times New Roman" w:cs="Times New Roman"/>
            <w:color w:val="0000FF"/>
            <w:szCs w:val="24"/>
            <w:u w:val="single"/>
          </w:rPr>
          <w:t>GOVERNA</w:t>
        </w:r>
        <w:r w:rsidRPr="00B1478C">
          <w:rPr>
            <w:rFonts w:eastAsia="Times New Roman" w:cs="Times New Roman"/>
            <w:color w:val="0000FF"/>
            <w:szCs w:val="24"/>
            <w:u w:val="single"/>
          </w:rPr>
          <w:t>N</w:t>
        </w:r>
        <w:r w:rsidRPr="00B1478C">
          <w:rPr>
            <w:rFonts w:eastAsia="Times New Roman" w:cs="Times New Roman"/>
            <w:color w:val="0000FF"/>
            <w:szCs w:val="24"/>
            <w:u w:val="single"/>
          </w:rPr>
          <w:t>CE</w:t>
        </w:r>
      </w:hyperlink>
    </w:p>
    <w:p w:rsidR="00B1478C" w:rsidRPr="00B1478C" w:rsidRDefault="00B1478C" w:rsidP="00B1478C">
      <w:pPr>
        <w:numPr>
          <w:ilvl w:val="0"/>
          <w:numId w:val="5"/>
        </w:numPr>
        <w:spacing w:before="100" w:beforeAutospacing="1" w:after="100" w:afterAutospacing="1" w:line="240" w:lineRule="auto"/>
        <w:rPr>
          <w:rFonts w:eastAsia="Times New Roman" w:cs="Times New Roman"/>
          <w:szCs w:val="24"/>
        </w:rPr>
      </w:pPr>
      <w:hyperlink w:anchor="m_2889938815520070680__Toc519521671" w:history="1">
        <w:r w:rsidRPr="00B1478C">
          <w:rPr>
            <w:rFonts w:eastAsia="Times New Roman" w:cs="Times New Roman"/>
            <w:color w:val="0000FF"/>
            <w:szCs w:val="24"/>
            <w:u w:val="single"/>
          </w:rPr>
          <w:t>Two stories: the emergence of the Vietnamese social media.</w:t>
        </w:r>
      </w:hyperlink>
    </w:p>
    <w:p w:rsidR="00B1478C" w:rsidRPr="00B1478C" w:rsidRDefault="00B1478C" w:rsidP="00B1478C">
      <w:pPr>
        <w:numPr>
          <w:ilvl w:val="0"/>
          <w:numId w:val="5"/>
        </w:numPr>
        <w:spacing w:before="100" w:beforeAutospacing="1" w:after="100" w:afterAutospacing="1" w:line="240" w:lineRule="auto"/>
        <w:rPr>
          <w:rFonts w:eastAsia="Times New Roman" w:cs="Times New Roman"/>
          <w:szCs w:val="24"/>
        </w:rPr>
      </w:pPr>
      <w:hyperlink w:anchor="m_2889938815520070680__Toc519521672" w:history="1">
        <w:r w:rsidRPr="00B1478C">
          <w:rPr>
            <w:rFonts w:eastAsia="Times New Roman" w:cs="Times New Roman"/>
            <w:color w:val="0000FF"/>
            <w:szCs w:val="24"/>
            <w:u w:val="single"/>
          </w:rPr>
          <w:t>Money laundering risk from emerging markets: the case of Vietnam.</w:t>
        </w:r>
      </w:hyperlink>
    </w:p>
    <w:p w:rsidR="00B1478C" w:rsidRPr="00B1478C" w:rsidRDefault="00B1478C" w:rsidP="00B1478C">
      <w:pPr>
        <w:numPr>
          <w:ilvl w:val="0"/>
          <w:numId w:val="5"/>
        </w:numPr>
        <w:spacing w:before="100" w:beforeAutospacing="1" w:after="100" w:afterAutospacing="1" w:line="240" w:lineRule="auto"/>
        <w:rPr>
          <w:rFonts w:eastAsia="Times New Roman" w:cs="Times New Roman"/>
          <w:szCs w:val="24"/>
        </w:rPr>
      </w:pPr>
      <w:hyperlink w:anchor="m_2889938815520070680__Toc519521673" w:history="1">
        <w:r w:rsidRPr="00B1478C">
          <w:rPr>
            <w:rFonts w:eastAsia="Times New Roman" w:cs="Times New Roman"/>
            <w:color w:val="0000FF"/>
            <w:szCs w:val="24"/>
            <w:u w:val="single"/>
          </w:rPr>
          <w:t>From Revolution to Evolution: The Changing Meanings of Socialist Land in Vietnam.</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674" w:history="1">
        <w:r w:rsidRPr="00B1478C">
          <w:rPr>
            <w:rFonts w:eastAsia="Times New Roman" w:cs="Times New Roman"/>
            <w:color w:val="0000FF"/>
            <w:szCs w:val="24"/>
            <w:u w:val="single"/>
          </w:rPr>
          <w:t>HEALTH CARE</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75" w:history="1">
        <w:r w:rsidRPr="00B1478C">
          <w:rPr>
            <w:rFonts w:eastAsia="Times New Roman" w:cs="Times New Roman"/>
            <w:color w:val="0000FF"/>
            <w:szCs w:val="24"/>
            <w:u w:val="single"/>
          </w:rPr>
          <w:t>Technical Efficiency of Public and Private Hospitals in Vietnam: Do Market-Oriented Policies Matter?</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76" w:history="1">
        <w:r w:rsidRPr="00B1478C">
          <w:rPr>
            <w:rFonts w:eastAsia="Times New Roman" w:cs="Times New Roman"/>
            <w:color w:val="0000FF"/>
            <w:szCs w:val="24"/>
            <w:u w:val="single"/>
          </w:rPr>
          <w:t>Waiting time in the outpatient clinic at a national hospital in Vietnam.</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77" w:history="1">
        <w:r w:rsidRPr="00B1478C">
          <w:rPr>
            <w:rFonts w:eastAsia="Times New Roman" w:cs="Times New Roman"/>
            <w:color w:val="0000FF"/>
            <w:szCs w:val="24"/>
            <w:u w:val="single"/>
          </w:rPr>
          <w:t>Drowning Prevention: Assessment of a Classroom-Based Water Safety Education Program in Vietnam.</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78" w:history="1">
        <w:r w:rsidRPr="00B1478C">
          <w:rPr>
            <w:rFonts w:eastAsia="Times New Roman" w:cs="Times New Roman"/>
            <w:color w:val="0000FF"/>
            <w:szCs w:val="24"/>
            <w:u w:val="single"/>
          </w:rPr>
          <w:t>Leaving No One Behind: Strengthening Access to Eye Health Programs for People With Disabilities in 6 Low- and Middle-Income Countries.</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79" w:history="1">
        <w:r w:rsidRPr="00B1478C">
          <w:rPr>
            <w:rFonts w:eastAsia="Times New Roman" w:cs="Times New Roman"/>
            <w:color w:val="0000FF"/>
            <w:szCs w:val="24"/>
            <w:u w:val="single"/>
          </w:rPr>
          <w:t xml:space="preserve">Prevalence, risk awareness and health beliefs of </w:t>
        </w:r>
        <w:proofErr w:type="spellStart"/>
        <w:r w:rsidRPr="00B1478C">
          <w:rPr>
            <w:rFonts w:eastAsia="Times New Roman" w:cs="Times New Roman"/>
            <w:color w:val="0000FF"/>
            <w:szCs w:val="24"/>
            <w:u w:val="single"/>
          </w:rPr>
          <w:t>behavioural</w:t>
        </w:r>
        <w:proofErr w:type="spellEnd"/>
        <w:r w:rsidRPr="00B1478C">
          <w:rPr>
            <w:rFonts w:eastAsia="Times New Roman" w:cs="Times New Roman"/>
            <w:color w:val="0000FF"/>
            <w:szCs w:val="24"/>
            <w:u w:val="single"/>
          </w:rPr>
          <w:t xml:space="preserve"> risk factors for cardiovascular disease among university students in nine ASEAN countries.</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80" w:history="1">
        <w:r w:rsidRPr="00B1478C">
          <w:rPr>
            <w:rFonts w:eastAsia="Times New Roman" w:cs="Times New Roman"/>
            <w:color w:val="0000FF"/>
            <w:szCs w:val="24"/>
            <w:u w:val="single"/>
          </w:rPr>
          <w:t xml:space="preserve">Projected costs associated with school-based screening to inform deployment of </w:t>
        </w:r>
        <w:proofErr w:type="spellStart"/>
        <w:r w:rsidRPr="00B1478C">
          <w:rPr>
            <w:rFonts w:eastAsia="Times New Roman" w:cs="Times New Roman"/>
            <w:color w:val="0000FF"/>
            <w:szCs w:val="24"/>
            <w:u w:val="single"/>
          </w:rPr>
          <w:t>Dengvaxia</w:t>
        </w:r>
        <w:proofErr w:type="spellEnd"/>
        <w:r w:rsidRPr="00B1478C">
          <w:rPr>
            <w:rFonts w:eastAsia="Times New Roman" w:cs="Times New Roman"/>
            <w:color w:val="0000FF"/>
            <w:szCs w:val="24"/>
            <w:u w:val="single"/>
          </w:rPr>
          <w:t>: Vietnam as a case study.</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81" w:history="1">
        <w:r w:rsidRPr="00B1478C">
          <w:rPr>
            <w:rFonts w:eastAsia="Times New Roman" w:cs="Times New Roman"/>
            <w:color w:val="0000FF"/>
            <w:szCs w:val="24"/>
            <w:u w:val="single"/>
          </w:rPr>
          <w:t xml:space="preserve">Quantifying antimicrobial access and usage for </w:t>
        </w:r>
        <w:proofErr w:type="spellStart"/>
        <w:r w:rsidRPr="00B1478C">
          <w:rPr>
            <w:rFonts w:eastAsia="Times New Roman" w:cs="Times New Roman"/>
            <w:color w:val="0000FF"/>
            <w:szCs w:val="24"/>
            <w:u w:val="single"/>
          </w:rPr>
          <w:t>paediatric</w:t>
        </w:r>
        <w:proofErr w:type="spellEnd"/>
        <w:r w:rsidRPr="00B1478C">
          <w:rPr>
            <w:rFonts w:eastAsia="Times New Roman" w:cs="Times New Roman"/>
            <w:color w:val="0000FF"/>
            <w:szCs w:val="24"/>
            <w:u w:val="single"/>
          </w:rPr>
          <w:t xml:space="preserve"> </w:t>
        </w:r>
        <w:proofErr w:type="spellStart"/>
        <w:r w:rsidRPr="00B1478C">
          <w:rPr>
            <w:rFonts w:eastAsia="Times New Roman" w:cs="Times New Roman"/>
            <w:color w:val="0000FF"/>
            <w:szCs w:val="24"/>
            <w:u w:val="single"/>
          </w:rPr>
          <w:t>diarrhoeal</w:t>
        </w:r>
        <w:proofErr w:type="spellEnd"/>
        <w:r w:rsidRPr="00B1478C">
          <w:rPr>
            <w:rFonts w:eastAsia="Times New Roman" w:cs="Times New Roman"/>
            <w:color w:val="0000FF"/>
            <w:szCs w:val="24"/>
            <w:u w:val="single"/>
          </w:rPr>
          <w:t xml:space="preserve"> disease in an urban community setting in Asia.</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82" w:history="1">
        <w:r w:rsidRPr="00B1478C">
          <w:rPr>
            <w:rFonts w:eastAsia="Times New Roman" w:cs="Times New Roman"/>
            <w:color w:val="0000FF"/>
            <w:szCs w:val="24"/>
            <w:u w:val="single"/>
          </w:rPr>
          <w:t>Associations between internet addiction and physical activity among Vietnamese youths and adolescents.</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83" w:history="1">
        <w:r w:rsidRPr="00B1478C">
          <w:rPr>
            <w:rFonts w:eastAsia="Times New Roman" w:cs="Times New Roman"/>
            <w:color w:val="0000FF"/>
            <w:szCs w:val="24"/>
            <w:u w:val="single"/>
          </w:rPr>
          <w:t>Child Nutrition Education for Lifelong Healthy Eating Habits in Mai Dam Commune, Vietnam.</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84" w:history="1">
        <w:r w:rsidRPr="00B1478C">
          <w:rPr>
            <w:rFonts w:eastAsia="Times New Roman" w:cs="Times New Roman"/>
            <w:color w:val="0000FF"/>
            <w:szCs w:val="24"/>
            <w:u w:val="single"/>
          </w:rPr>
          <w:t>Decomposition of changes in the consumption of macronutrients in Vietnam between 2004 and 2014.</w:t>
        </w:r>
      </w:hyperlink>
    </w:p>
    <w:p w:rsidR="00B1478C" w:rsidRPr="00B1478C" w:rsidRDefault="00B1478C" w:rsidP="00B1478C">
      <w:pPr>
        <w:numPr>
          <w:ilvl w:val="0"/>
          <w:numId w:val="6"/>
        </w:numPr>
        <w:spacing w:before="100" w:beforeAutospacing="1" w:after="100" w:afterAutospacing="1" w:line="240" w:lineRule="auto"/>
        <w:rPr>
          <w:rFonts w:eastAsia="Times New Roman" w:cs="Times New Roman"/>
          <w:szCs w:val="24"/>
        </w:rPr>
      </w:pPr>
      <w:hyperlink w:anchor="m_2889938815520070680__Toc519521685" w:history="1">
        <w:r w:rsidRPr="00B1478C">
          <w:rPr>
            <w:rFonts w:eastAsia="Times New Roman" w:cs="Times New Roman"/>
            <w:color w:val="0000FF"/>
            <w:szCs w:val="24"/>
            <w:u w:val="single"/>
          </w:rPr>
          <w:t>Food Composition Tables in Southeast Asia: The Contribution of the SMILING Project.</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686" w:history="1">
        <w:r w:rsidRPr="00B1478C">
          <w:rPr>
            <w:rFonts w:eastAsia="Times New Roman" w:cs="Times New Roman"/>
            <w:color w:val="0000FF"/>
            <w:szCs w:val="24"/>
            <w:u w:val="single"/>
          </w:rPr>
          <w:t>ROAD SAFETY</w:t>
        </w:r>
      </w:hyperlink>
    </w:p>
    <w:p w:rsidR="00B1478C" w:rsidRPr="00B1478C" w:rsidRDefault="00B1478C" w:rsidP="00B1478C">
      <w:pPr>
        <w:numPr>
          <w:ilvl w:val="0"/>
          <w:numId w:val="7"/>
        </w:numPr>
        <w:spacing w:before="100" w:beforeAutospacing="1" w:after="100" w:afterAutospacing="1" w:line="240" w:lineRule="auto"/>
        <w:rPr>
          <w:rFonts w:eastAsia="Times New Roman" w:cs="Times New Roman"/>
          <w:szCs w:val="24"/>
        </w:rPr>
      </w:pPr>
      <w:hyperlink w:anchor="m_2889938815520070680__Toc519521687" w:history="1">
        <w:r w:rsidRPr="00B1478C">
          <w:rPr>
            <w:rFonts w:eastAsia="Times New Roman" w:cs="Times New Roman"/>
            <w:color w:val="0000FF"/>
            <w:szCs w:val="24"/>
            <w:u w:val="single"/>
          </w:rPr>
          <w:t xml:space="preserve">Correlations between mobile phone use and other risky </w:t>
        </w:r>
        <w:proofErr w:type="spellStart"/>
        <w:r w:rsidRPr="00B1478C">
          <w:rPr>
            <w:rFonts w:eastAsia="Times New Roman" w:cs="Times New Roman"/>
            <w:color w:val="0000FF"/>
            <w:szCs w:val="24"/>
            <w:u w:val="single"/>
          </w:rPr>
          <w:t>behaviours</w:t>
        </w:r>
        <w:proofErr w:type="spellEnd"/>
        <w:r w:rsidRPr="00B1478C">
          <w:rPr>
            <w:rFonts w:eastAsia="Times New Roman" w:cs="Times New Roman"/>
            <w:color w:val="0000FF"/>
            <w:szCs w:val="24"/>
            <w:u w:val="single"/>
          </w:rPr>
          <w:t xml:space="preserve"> while riding a motorcycle.</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688" w:history="1">
        <w:r w:rsidRPr="00B1478C">
          <w:rPr>
            <w:rFonts w:eastAsia="Times New Roman" w:cs="Times New Roman"/>
            <w:color w:val="0000FF"/>
            <w:szCs w:val="24"/>
            <w:u w:val="single"/>
          </w:rPr>
          <w:t>URBAN DEVELOPMENT</w:t>
        </w:r>
      </w:hyperlink>
    </w:p>
    <w:p w:rsidR="00B1478C" w:rsidRPr="00B1478C" w:rsidRDefault="00B1478C" w:rsidP="00B1478C">
      <w:pPr>
        <w:numPr>
          <w:ilvl w:val="0"/>
          <w:numId w:val="8"/>
        </w:numPr>
        <w:spacing w:before="100" w:beforeAutospacing="1" w:after="100" w:afterAutospacing="1" w:line="240" w:lineRule="auto"/>
        <w:rPr>
          <w:rFonts w:eastAsia="Times New Roman" w:cs="Times New Roman"/>
          <w:szCs w:val="24"/>
        </w:rPr>
      </w:pPr>
      <w:hyperlink w:anchor="m_2889938815520070680__Toc519521689" w:history="1">
        <w:r w:rsidRPr="00B1478C">
          <w:rPr>
            <w:rFonts w:eastAsia="Times New Roman" w:cs="Times New Roman"/>
            <w:color w:val="0000FF"/>
            <w:szCs w:val="24"/>
            <w:u w:val="single"/>
          </w:rPr>
          <w:t xml:space="preserve">Assessment of Future Urban Climate </w:t>
        </w:r>
        <w:proofErr w:type="gramStart"/>
        <w:r w:rsidRPr="00B1478C">
          <w:rPr>
            <w:rFonts w:eastAsia="Times New Roman" w:cs="Times New Roman"/>
            <w:color w:val="0000FF"/>
            <w:szCs w:val="24"/>
            <w:u w:val="single"/>
          </w:rPr>
          <w:t>After</w:t>
        </w:r>
        <w:proofErr w:type="gramEnd"/>
        <w:r w:rsidRPr="00B1478C">
          <w:rPr>
            <w:rFonts w:eastAsia="Times New Roman" w:cs="Times New Roman"/>
            <w:color w:val="0000FF"/>
            <w:szCs w:val="24"/>
            <w:u w:val="single"/>
          </w:rPr>
          <w:t xml:space="preserve"> Implementation of the City Master Plan in </w:t>
        </w:r>
        <w:proofErr w:type="spellStart"/>
        <w:r w:rsidRPr="00B1478C">
          <w:rPr>
            <w:rFonts w:eastAsia="Times New Roman" w:cs="Times New Roman"/>
            <w:color w:val="0000FF"/>
            <w:szCs w:val="24"/>
            <w:u w:val="single"/>
          </w:rPr>
          <w:t>Vinh</w:t>
        </w:r>
        <w:proofErr w:type="spellEnd"/>
        <w:r w:rsidRPr="00B1478C">
          <w:rPr>
            <w:rFonts w:eastAsia="Times New Roman" w:cs="Times New Roman"/>
            <w:color w:val="0000FF"/>
            <w:szCs w:val="24"/>
            <w:u w:val="single"/>
          </w:rPr>
          <w:t xml:space="preserve"> City, Vietnam.</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690" w:history="1">
        <w:r w:rsidRPr="00B1478C">
          <w:rPr>
            <w:rFonts w:eastAsia="Times New Roman" w:cs="Times New Roman"/>
            <w:color w:val="0000FF"/>
            <w:szCs w:val="24"/>
            <w:u w:val="single"/>
          </w:rPr>
          <w:t>LABOR</w:t>
        </w:r>
      </w:hyperlink>
    </w:p>
    <w:p w:rsidR="00B1478C" w:rsidRPr="00B1478C" w:rsidRDefault="00B1478C" w:rsidP="00B1478C">
      <w:pPr>
        <w:numPr>
          <w:ilvl w:val="0"/>
          <w:numId w:val="9"/>
        </w:numPr>
        <w:spacing w:before="100" w:beforeAutospacing="1" w:after="100" w:afterAutospacing="1" w:line="240" w:lineRule="auto"/>
        <w:rPr>
          <w:rFonts w:eastAsia="Times New Roman" w:cs="Times New Roman"/>
          <w:szCs w:val="24"/>
        </w:rPr>
      </w:pPr>
      <w:hyperlink w:anchor="m_2889938815520070680__Toc519521691" w:history="1">
        <w:r w:rsidRPr="00B1478C">
          <w:rPr>
            <w:rFonts w:eastAsia="Times New Roman" w:cs="Times New Roman"/>
            <w:color w:val="0000FF"/>
            <w:szCs w:val="24"/>
            <w:u w:val="single"/>
          </w:rPr>
          <w:t>CSR Participation Committees, Wildcat Strikes and the Sourcing Squeeze in Global Supply Chains.</w:t>
        </w:r>
      </w:hyperlink>
    </w:p>
    <w:p w:rsidR="00B1478C" w:rsidRPr="00B1478C" w:rsidRDefault="00B1478C" w:rsidP="00B1478C">
      <w:pPr>
        <w:numPr>
          <w:ilvl w:val="0"/>
          <w:numId w:val="9"/>
        </w:numPr>
        <w:spacing w:before="100" w:beforeAutospacing="1" w:after="100" w:afterAutospacing="1" w:line="240" w:lineRule="auto"/>
        <w:rPr>
          <w:rFonts w:eastAsia="Times New Roman" w:cs="Times New Roman"/>
          <w:szCs w:val="24"/>
        </w:rPr>
      </w:pPr>
      <w:hyperlink w:anchor="m_2889938815520070680__Toc519521692" w:history="1">
        <w:r w:rsidRPr="00B1478C">
          <w:rPr>
            <w:rFonts w:eastAsia="Times New Roman" w:cs="Times New Roman"/>
            <w:color w:val="0000FF"/>
            <w:szCs w:val="24"/>
            <w:u w:val="single"/>
          </w:rPr>
          <w:t>Export Markets and Labor Allocation in a Low-income Country.</w:t>
        </w:r>
      </w:hyperlink>
    </w:p>
    <w:p w:rsidR="00B1478C" w:rsidRPr="00B1478C" w:rsidRDefault="00B1478C" w:rsidP="00B1478C">
      <w:pPr>
        <w:numPr>
          <w:ilvl w:val="0"/>
          <w:numId w:val="9"/>
        </w:numPr>
        <w:spacing w:before="100" w:beforeAutospacing="1" w:after="100" w:afterAutospacing="1" w:line="240" w:lineRule="auto"/>
        <w:rPr>
          <w:rFonts w:eastAsia="Times New Roman" w:cs="Times New Roman"/>
          <w:szCs w:val="24"/>
        </w:rPr>
      </w:pPr>
      <w:hyperlink w:anchor="m_2889938815520070680__Toc519521693" w:history="1">
        <w:r w:rsidRPr="00B1478C">
          <w:rPr>
            <w:rFonts w:eastAsia="Times New Roman" w:cs="Times New Roman"/>
            <w:color w:val="0000FF"/>
            <w:szCs w:val="24"/>
            <w:u w:val="single"/>
          </w:rPr>
          <w:t>Labor Market Conditions and Cultural Change: Evidence from Vietnam.</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694" w:history="1">
        <w:r w:rsidRPr="00B1478C">
          <w:rPr>
            <w:rFonts w:eastAsia="Times New Roman" w:cs="Times New Roman"/>
            <w:color w:val="0000FF"/>
            <w:szCs w:val="24"/>
            <w:u w:val="single"/>
          </w:rPr>
          <w:t>SOCIAL DEVELOPMENT</w:t>
        </w:r>
      </w:hyperlink>
    </w:p>
    <w:p w:rsidR="00B1478C" w:rsidRPr="00B1478C" w:rsidRDefault="00B1478C" w:rsidP="00B1478C">
      <w:pPr>
        <w:numPr>
          <w:ilvl w:val="0"/>
          <w:numId w:val="10"/>
        </w:numPr>
        <w:spacing w:before="100" w:beforeAutospacing="1" w:after="100" w:afterAutospacing="1" w:line="240" w:lineRule="auto"/>
        <w:rPr>
          <w:rFonts w:eastAsia="Times New Roman" w:cs="Times New Roman"/>
          <w:szCs w:val="24"/>
        </w:rPr>
      </w:pPr>
      <w:hyperlink w:anchor="m_2889938815520070680__Toc519521695" w:history="1">
        <w:r w:rsidRPr="00B1478C">
          <w:rPr>
            <w:rFonts w:eastAsia="Times New Roman" w:cs="Times New Roman"/>
            <w:color w:val="0000FF"/>
            <w:szCs w:val="24"/>
            <w:u w:val="single"/>
          </w:rPr>
          <w:t>Measurement and Determinants of Quality of Life of Older Adults in Ho Chi Minh City, Vietnam.</w:t>
        </w:r>
      </w:hyperlink>
    </w:p>
    <w:p w:rsidR="00B1478C" w:rsidRPr="00B1478C" w:rsidRDefault="00B1478C" w:rsidP="00B1478C">
      <w:pPr>
        <w:numPr>
          <w:ilvl w:val="0"/>
          <w:numId w:val="10"/>
        </w:numPr>
        <w:spacing w:before="100" w:beforeAutospacing="1" w:after="100" w:afterAutospacing="1" w:line="240" w:lineRule="auto"/>
        <w:rPr>
          <w:rFonts w:eastAsia="Times New Roman" w:cs="Times New Roman"/>
          <w:szCs w:val="24"/>
        </w:rPr>
      </w:pPr>
      <w:hyperlink w:anchor="m_2889938815520070680__Toc519521696" w:history="1">
        <w:r w:rsidRPr="00B1478C">
          <w:rPr>
            <w:rFonts w:eastAsia="Times New Roman" w:cs="Times New Roman"/>
            <w:color w:val="0000FF"/>
            <w:szCs w:val="24"/>
            <w:u w:val="single"/>
          </w:rPr>
          <w:t>Engaging employees with disabilities in Vietnamese business context: The roles of disability inclusive HR practices and mediation and moderation mechanisms.</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697" w:history="1">
        <w:r w:rsidRPr="00B1478C">
          <w:rPr>
            <w:rFonts w:eastAsia="Times New Roman" w:cs="Times New Roman"/>
            <w:color w:val="0000FF"/>
            <w:szCs w:val="24"/>
            <w:u w:val="single"/>
          </w:rPr>
          <w:t>TOURISM</w:t>
        </w:r>
      </w:hyperlink>
    </w:p>
    <w:p w:rsidR="00B1478C" w:rsidRPr="00B1478C" w:rsidRDefault="00B1478C" w:rsidP="00B1478C">
      <w:pPr>
        <w:numPr>
          <w:ilvl w:val="0"/>
          <w:numId w:val="11"/>
        </w:numPr>
        <w:spacing w:before="100" w:beforeAutospacing="1" w:after="100" w:afterAutospacing="1" w:line="240" w:lineRule="auto"/>
        <w:rPr>
          <w:rFonts w:eastAsia="Times New Roman" w:cs="Times New Roman"/>
          <w:szCs w:val="24"/>
        </w:rPr>
      </w:pPr>
      <w:hyperlink w:anchor="m_2889938815520070680__Toc519521698" w:history="1">
        <w:r w:rsidRPr="00B1478C">
          <w:rPr>
            <w:rFonts w:eastAsia="Times New Roman" w:cs="Times New Roman"/>
            <w:color w:val="0000FF"/>
            <w:szCs w:val="24"/>
            <w:u w:val="single"/>
          </w:rPr>
          <w:t>Assessing sustainable tourism in Vietnam: A hierarchical structure approach.</w:t>
        </w:r>
      </w:hyperlink>
    </w:p>
    <w:p w:rsidR="00B1478C" w:rsidRPr="00B1478C" w:rsidRDefault="00B1478C" w:rsidP="00B1478C">
      <w:pPr>
        <w:numPr>
          <w:ilvl w:val="0"/>
          <w:numId w:val="11"/>
        </w:numPr>
        <w:spacing w:before="100" w:beforeAutospacing="1" w:after="100" w:afterAutospacing="1" w:line="240" w:lineRule="auto"/>
        <w:rPr>
          <w:rFonts w:eastAsia="Times New Roman" w:cs="Times New Roman"/>
          <w:szCs w:val="24"/>
        </w:rPr>
      </w:pPr>
      <w:hyperlink w:anchor="m_2889938815520070680__Toc519521699" w:history="1">
        <w:r w:rsidRPr="00B1478C">
          <w:rPr>
            <w:rFonts w:eastAsia="Times New Roman" w:cs="Times New Roman"/>
            <w:color w:val="0000FF"/>
            <w:szCs w:val="24"/>
            <w:u w:val="single"/>
          </w:rPr>
          <w:t>Exposure to air pollutants in Vietnam: Assessing potential risk for tourists.</w:t>
        </w:r>
      </w:hyperlink>
    </w:p>
    <w:p w:rsidR="00B1478C" w:rsidRPr="00B1478C" w:rsidRDefault="00B1478C" w:rsidP="00B1478C">
      <w:pPr>
        <w:spacing w:before="100" w:beforeAutospacing="1" w:after="100" w:afterAutospacing="1" w:line="240" w:lineRule="auto"/>
        <w:rPr>
          <w:rFonts w:eastAsia="Times New Roman" w:cs="Times New Roman"/>
          <w:szCs w:val="24"/>
        </w:rPr>
      </w:pPr>
      <w:hyperlink w:anchor="m_2889938815520070680__Toc519521700" w:history="1">
        <w:r w:rsidRPr="00B1478C">
          <w:rPr>
            <w:rFonts w:eastAsia="Times New Roman" w:cs="Times New Roman"/>
            <w:color w:val="0000FF"/>
            <w:szCs w:val="24"/>
            <w:u w:val="single"/>
          </w:rPr>
          <w:t>WATER</w:t>
        </w:r>
      </w:hyperlink>
    </w:p>
    <w:p w:rsidR="00B1478C" w:rsidRPr="00B1478C" w:rsidRDefault="00B1478C" w:rsidP="00B1478C">
      <w:pPr>
        <w:numPr>
          <w:ilvl w:val="0"/>
          <w:numId w:val="12"/>
        </w:numPr>
        <w:spacing w:before="100" w:beforeAutospacing="1" w:after="100" w:afterAutospacing="1" w:line="240" w:lineRule="auto"/>
        <w:rPr>
          <w:rFonts w:eastAsia="Times New Roman" w:cs="Times New Roman"/>
          <w:szCs w:val="24"/>
        </w:rPr>
      </w:pPr>
      <w:hyperlink w:anchor="m_2889938815520070680__Toc519521701" w:history="1">
        <w:r w:rsidRPr="00B1478C">
          <w:rPr>
            <w:rFonts w:eastAsia="Times New Roman" w:cs="Times New Roman"/>
            <w:color w:val="0000FF"/>
            <w:szCs w:val="24"/>
            <w:u w:val="single"/>
          </w:rPr>
          <w:t xml:space="preserve">Acceptance Factors of Appropriate Technology: Case of Water Purification Systems in </w:t>
        </w:r>
        <w:proofErr w:type="spellStart"/>
        <w:r w:rsidRPr="00B1478C">
          <w:rPr>
            <w:rFonts w:eastAsia="Times New Roman" w:cs="Times New Roman"/>
            <w:color w:val="0000FF"/>
            <w:szCs w:val="24"/>
            <w:u w:val="single"/>
          </w:rPr>
          <w:t>Binh</w:t>
        </w:r>
        <w:proofErr w:type="spellEnd"/>
        <w:r w:rsidRPr="00B1478C">
          <w:rPr>
            <w:rFonts w:eastAsia="Times New Roman" w:cs="Times New Roman"/>
            <w:color w:val="0000FF"/>
            <w:szCs w:val="24"/>
            <w:u w:val="single"/>
          </w:rPr>
          <w:t xml:space="preserve"> </w:t>
        </w:r>
        <w:proofErr w:type="spellStart"/>
        <w:r w:rsidRPr="00B1478C">
          <w:rPr>
            <w:rFonts w:eastAsia="Times New Roman" w:cs="Times New Roman"/>
            <w:color w:val="0000FF"/>
            <w:szCs w:val="24"/>
            <w:u w:val="single"/>
          </w:rPr>
          <w:t>Dinh</w:t>
        </w:r>
        <w:proofErr w:type="spellEnd"/>
        <w:r w:rsidRPr="00B1478C">
          <w:rPr>
            <w:rFonts w:eastAsia="Times New Roman" w:cs="Times New Roman"/>
            <w:color w:val="0000FF"/>
            <w:szCs w:val="24"/>
            <w:u w:val="single"/>
          </w:rPr>
          <w:t>, Vietnam.</w:t>
        </w:r>
      </w:hyperlink>
    </w:p>
    <w:p w:rsidR="00B1478C" w:rsidRPr="00B1478C" w:rsidRDefault="00B1478C" w:rsidP="00B1478C">
      <w:pPr>
        <w:numPr>
          <w:ilvl w:val="0"/>
          <w:numId w:val="12"/>
        </w:numPr>
        <w:spacing w:before="100" w:beforeAutospacing="1" w:after="100" w:afterAutospacing="1" w:line="240" w:lineRule="auto"/>
        <w:rPr>
          <w:rFonts w:eastAsia="Times New Roman" w:cs="Times New Roman"/>
          <w:szCs w:val="24"/>
        </w:rPr>
      </w:pPr>
      <w:hyperlink w:anchor="m_2889938815520070680__Toc519521702" w:history="1">
        <w:r w:rsidRPr="00B1478C">
          <w:rPr>
            <w:rFonts w:eastAsia="Times New Roman" w:cs="Times New Roman"/>
            <w:color w:val="0000FF"/>
            <w:szCs w:val="24"/>
            <w:u w:val="single"/>
          </w:rPr>
          <w:t>Polders, dikes, canals, rice, and aquaculture in the Mekong Delta.</w:t>
        </w:r>
      </w:hyperlink>
    </w:p>
    <w:p w:rsidR="00B1478C" w:rsidRPr="00B1478C" w:rsidRDefault="00B1478C" w:rsidP="00B1478C">
      <w:pPr>
        <w:numPr>
          <w:ilvl w:val="0"/>
          <w:numId w:val="12"/>
        </w:numPr>
        <w:spacing w:before="100" w:beforeAutospacing="1" w:after="100" w:afterAutospacing="1" w:line="240" w:lineRule="auto"/>
        <w:rPr>
          <w:rFonts w:eastAsia="Times New Roman" w:cs="Times New Roman"/>
          <w:szCs w:val="24"/>
        </w:rPr>
      </w:pPr>
      <w:hyperlink w:anchor="m_2889938815520070680__Toc519521703" w:history="1">
        <w:r w:rsidRPr="00B1478C">
          <w:rPr>
            <w:rFonts w:eastAsia="Times New Roman" w:cs="Times New Roman"/>
            <w:color w:val="0000FF"/>
            <w:szCs w:val="24"/>
            <w:u w:val="single"/>
          </w:rPr>
          <w:t>Social sustainability assessment of groundwater resources: A case study of Hanoi, Vietnam.</w:t>
        </w:r>
      </w:hyperlink>
    </w:p>
    <w:p w:rsidR="00B1478C" w:rsidRPr="00B1478C" w:rsidRDefault="00B1478C" w:rsidP="00B1478C">
      <w:pPr>
        <w:spacing w:before="100" w:beforeAutospacing="1" w:after="100" w:afterAutospacing="1" w:line="240" w:lineRule="auto"/>
        <w:rPr>
          <w:rFonts w:eastAsia="Times New Roman" w:cs="Times New Roman"/>
          <w:szCs w:val="24"/>
        </w:rPr>
      </w:pPr>
      <w:r w:rsidRPr="00B1478C">
        <w:rPr>
          <w:rFonts w:eastAsia="Times New Roman" w:cs="Times New Roman"/>
          <w:szCs w:val="24"/>
        </w:rPr>
        <w:t> </w:t>
      </w:r>
    </w:p>
    <w:p w:rsidR="00B1478C" w:rsidRPr="00B1478C" w:rsidRDefault="00B1478C" w:rsidP="00B1478C">
      <w:pPr>
        <w:spacing w:before="100" w:beforeAutospacing="1" w:after="100" w:afterAutospacing="1" w:line="240" w:lineRule="auto"/>
        <w:rPr>
          <w:rFonts w:eastAsia="Times New Roman" w:cs="Times New Roman"/>
          <w:szCs w:val="24"/>
        </w:rPr>
      </w:pPr>
      <w:r w:rsidRPr="00B1478C">
        <w:rPr>
          <w:rFonts w:eastAsia="Times New Roman" w:cs="Times New Roman"/>
          <w:szCs w:val="24"/>
        </w:rPr>
        <w:t> </w:t>
      </w:r>
    </w:p>
    <w:p w:rsidR="00B1478C" w:rsidRPr="00B1478C" w:rsidRDefault="00B1478C" w:rsidP="00B1478C">
      <w:pPr>
        <w:spacing w:before="100" w:beforeAutospacing="1" w:after="100" w:afterAutospacing="1" w:line="240" w:lineRule="auto"/>
        <w:rPr>
          <w:rFonts w:eastAsia="Times New Roman" w:cs="Times New Roman"/>
          <w:szCs w:val="24"/>
        </w:rPr>
      </w:pPr>
      <w:r w:rsidRPr="00B1478C">
        <w:rPr>
          <w:rFonts w:eastAsia="Times New Roman" w:cs="Times New Roman"/>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r w:rsidRPr="00C70DBF">
        <w:rPr>
          <w:rFonts w:ascii="Arial" w:eastAsia="Times New Roman" w:hAnsi="Arial" w:cs="Arial"/>
          <w:b/>
          <w:bCs/>
          <w:color w:val="FFFFFF"/>
          <w:kern w:val="36"/>
          <w:sz w:val="48"/>
          <w:szCs w:val="48"/>
        </w:rPr>
        <w:t>AGRICULTURE AND RURAL DEVELOPMENT</w:t>
      </w:r>
      <w:bookmarkEnd w:id="0"/>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2" w:name="m_2889938815520070680__Hlk507510159"/>
      <w:bookmarkStart w:id="3" w:name="m_2889938815520070680__Hlk511750468"/>
      <w:bookmarkStart w:id="4" w:name="m_2889938815520070680__Toc519521630"/>
      <w:bookmarkEnd w:id="2"/>
      <w:bookmarkEnd w:id="3"/>
      <w:r w:rsidRPr="00C70DBF">
        <w:rPr>
          <w:rFonts w:ascii="Calibri" w:eastAsia="Times New Roman" w:hAnsi="Calibri" w:cs="Calibri"/>
          <w:b/>
          <w:bCs/>
          <w:color w:val="800000"/>
          <w:sz w:val="22"/>
        </w:rPr>
        <w:t xml:space="preserve">Climate change impact assessment on potential rubber cultivating area in the Greater Mekong </w:t>
      </w:r>
      <w:proofErr w:type="spellStart"/>
      <w:r w:rsidRPr="00C70DBF">
        <w:rPr>
          <w:rFonts w:ascii="Calibri" w:eastAsia="Times New Roman" w:hAnsi="Calibri" w:cs="Calibri"/>
          <w:b/>
          <w:bCs/>
          <w:color w:val="800000"/>
          <w:sz w:val="22"/>
        </w:rPr>
        <w:t>Subregion</w:t>
      </w:r>
      <w:proofErr w:type="spellEnd"/>
      <w:r w:rsidRPr="00C70DBF">
        <w:rPr>
          <w:rFonts w:ascii="Calibri" w:eastAsia="Times New Roman" w:hAnsi="Calibri" w:cs="Calibri"/>
          <w:b/>
          <w:bCs/>
          <w:color w:val="800000"/>
          <w:sz w:val="22"/>
        </w:rPr>
        <w:t xml:space="preserve"> [Accepted Manuscript].</w:t>
      </w:r>
      <w:bookmarkEnd w:id="4"/>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Reza </w:t>
      </w:r>
      <w:proofErr w:type="spellStart"/>
      <w:r w:rsidRPr="00C70DBF">
        <w:rPr>
          <w:rFonts w:ascii="Arial" w:eastAsia="Times New Roman" w:hAnsi="Arial" w:cs="Arial"/>
          <w:color w:val="000000"/>
          <w:szCs w:val="24"/>
        </w:rPr>
        <w:t>Golbon</w:t>
      </w:r>
      <w:proofErr w:type="spellEnd"/>
      <w:r w:rsidRPr="00C70DBF">
        <w:rPr>
          <w:rFonts w:ascii="Arial" w:eastAsia="Times New Roman" w:hAnsi="Arial" w:cs="Arial"/>
          <w:color w:val="000000"/>
          <w:szCs w:val="24"/>
        </w:rPr>
        <w:t xml:space="preserve">, Marc Cotter and Joachim </w:t>
      </w:r>
      <w:proofErr w:type="spellStart"/>
      <w:r w:rsidRPr="00C70DBF">
        <w:rPr>
          <w:rFonts w:ascii="Arial" w:eastAsia="Times New Roman" w:hAnsi="Arial" w:cs="Arial"/>
          <w:color w:val="000000"/>
          <w:szCs w:val="24"/>
        </w:rPr>
        <w:t>Sauerborn</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Environmental Research Letters,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6" w:tgtFrame="_blank" w:history="1">
        <w:r w:rsidRPr="00C70DBF">
          <w:rPr>
            <w:rFonts w:ascii="Arial" w:eastAsia="Times New Roman" w:hAnsi="Arial" w:cs="Arial"/>
            <w:color w:val="1155CC"/>
            <w:szCs w:val="24"/>
            <w:u w:val="single"/>
          </w:rPr>
          <w:t>http://iopscience.iop.org/article/10.1088/1748-9326/aad1d1/pdf</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In order to map potential shifts of rubber (</w:t>
      </w:r>
      <w:proofErr w:type="spellStart"/>
      <w:r w:rsidRPr="00C70DBF">
        <w:rPr>
          <w:rFonts w:ascii="Arial" w:eastAsia="Times New Roman" w:hAnsi="Arial" w:cs="Arial"/>
          <w:color w:val="000000"/>
          <w:szCs w:val="24"/>
        </w:rPr>
        <w:t>Hevea</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brasiliensis</w:t>
      </w:r>
      <w:proofErr w:type="spellEnd"/>
      <w:r w:rsidRPr="00C70DBF">
        <w:rPr>
          <w:rFonts w:ascii="Arial" w:eastAsia="Times New Roman" w:hAnsi="Arial" w:cs="Arial"/>
          <w:color w:val="000000"/>
          <w:szCs w:val="24"/>
        </w:rPr>
        <w:t xml:space="preserve">) cultivation as a consequence of the ongoing climate change in the Greater Mekong </w:t>
      </w:r>
      <w:proofErr w:type="spellStart"/>
      <w:r w:rsidRPr="00C70DBF">
        <w:rPr>
          <w:rFonts w:ascii="Arial" w:eastAsia="Times New Roman" w:hAnsi="Arial" w:cs="Arial"/>
          <w:color w:val="000000"/>
          <w:szCs w:val="24"/>
        </w:rPr>
        <w:t>Subregion</w:t>
      </w:r>
      <w:proofErr w:type="spellEnd"/>
      <w:r w:rsidRPr="00C70DBF">
        <w:rPr>
          <w:rFonts w:ascii="Arial" w:eastAsia="Times New Roman" w:hAnsi="Arial" w:cs="Arial"/>
          <w:color w:val="000000"/>
          <w:szCs w:val="24"/>
        </w:rPr>
        <w:t xml:space="preserve">, we applied rule-based classifications to a selection of nine gridded climatic data projections (precipitation and temperature, Global Circulation Models (GCMs)). These projections were used to form an ensemble model set covering the Representative Concentration Pathways (RCPs) 4.5 and 8.5 of the Fifth Assessment Report of the Intergovernmental Panel on Climate Change at three future time sections: 2030, 2050 and 2070. We used a post classification ensemble formation technique based on majority outcome of the classification to not only provide an ensemble projection but also to spatially track and weight the disagreements between the classified GCMs. A similar approach was used to form an ensemble model aggregating the involved climatic factors. The level of parsimony between the ensemble projections and GCM products was assessed for each climatic factor separately, and also at the aggregate level. Shifting zones with high confidence were clustered based on their land use composition, physiographic attributes and proximity. Following the same ensemble formation technique and by setting a 28°C threshold for annual mean temperature, we mapped areas prone to </w:t>
      </w:r>
      <w:r w:rsidRPr="00C70DBF">
        <w:rPr>
          <w:rFonts w:ascii="Arial" w:eastAsia="Times New Roman" w:hAnsi="Arial" w:cs="Arial"/>
          <w:color w:val="000000"/>
          <w:szCs w:val="24"/>
        </w:rPr>
        <w:lastRenderedPageBreak/>
        <w:t>exposure to potentially excessive heat levels. Almost the entire shift projected with high certainty was in form of expansion, associated with temperature components of climate and temporally limited to the 2030 time window where the total area conducive to rubber cultivation in the GMS is projected to exceed 50% by 2030 (from 44.3% at the turn of the century). The largest detected cluster (41% of the total shifting area), which also is the most ecologically degraded, corresponds to Northern Vietnam and Guangxi Autonomous Region of China. The area exposed to potentially excessive heat is projected to</w:t>
      </w:r>
      <w:proofErr w:type="gramStart"/>
      <w:r w:rsidRPr="00C70DBF">
        <w:rPr>
          <w:rFonts w:ascii="Arial" w:eastAsia="Times New Roman" w:hAnsi="Arial" w:cs="Arial"/>
          <w:color w:val="000000"/>
          <w:szCs w:val="24"/>
        </w:rPr>
        <w:t>  undergo</w:t>
      </w:r>
      <w:proofErr w:type="gramEnd"/>
      <w:r w:rsidRPr="00C70DBF">
        <w:rPr>
          <w:rFonts w:ascii="Arial" w:eastAsia="Times New Roman" w:hAnsi="Arial" w:cs="Arial"/>
          <w:color w:val="000000"/>
          <w:szCs w:val="24"/>
        </w:rPr>
        <w:t xml:space="preserve"> a 25-fold increase under RCP4.5 by 2030 from 14568 km2  at the baseline.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 w:name="m_2889938815520070680__Toc519521631"/>
      <w:proofErr w:type="gramStart"/>
      <w:r w:rsidRPr="00C70DBF">
        <w:rPr>
          <w:rFonts w:ascii="Calibri" w:eastAsia="Times New Roman" w:hAnsi="Calibri" w:cs="Calibri"/>
          <w:b/>
          <w:bCs/>
          <w:color w:val="800000"/>
          <w:sz w:val="22"/>
        </w:rPr>
        <w:t>Ensuring a sustainable tropical fruit industry in the midst of climate change: the Vietnam story.</w:t>
      </w:r>
      <w:bookmarkEnd w:id="5"/>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Hung Nguyen Quoc and </w:t>
      </w:r>
      <w:proofErr w:type="spellStart"/>
      <w:r w:rsidRPr="00C70DBF">
        <w:rPr>
          <w:rFonts w:ascii="Arial" w:eastAsia="Times New Roman" w:hAnsi="Arial" w:cs="Arial"/>
          <w:color w:val="000000"/>
          <w:szCs w:val="24"/>
        </w:rPr>
        <w:t>Thoai</w:t>
      </w:r>
      <w:proofErr w:type="spell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Vo</w:t>
      </w:r>
      <w:proofErr w:type="gram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Huu</w:t>
      </w:r>
      <w:proofErr w:type="spellEnd"/>
      <w:r w:rsidRPr="00C70DBF">
        <w:rPr>
          <w:rFonts w:ascii="Arial" w:eastAsia="Times New Roman" w:hAnsi="Arial" w:cs="Arial"/>
          <w:color w:val="000000"/>
          <w:szCs w:val="24"/>
        </w:rPr>
        <w:t>, International Tropical Fruits Network (</w:t>
      </w:r>
      <w:proofErr w:type="spellStart"/>
      <w:r w:rsidRPr="00C70DBF">
        <w:rPr>
          <w:rFonts w:ascii="Arial" w:eastAsia="Times New Roman" w:hAnsi="Arial" w:cs="Arial"/>
          <w:color w:val="000000"/>
          <w:szCs w:val="24"/>
        </w:rPr>
        <w:t>TFNet</w:t>
      </w:r>
      <w:proofErr w:type="spellEnd"/>
      <w:r w:rsidRPr="00C70DBF">
        <w:rPr>
          <w:rFonts w:ascii="Arial" w:eastAsia="Times New Roman" w:hAnsi="Arial" w:cs="Arial"/>
          <w:color w:val="000000"/>
          <w:szCs w:val="24"/>
        </w:rPr>
        <w:t>), Selangor, 2018.</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Fruit production has been increasingly playing an important role in agricultural production in Vietnam. In 2016, the area of fruit trees in Vietnam reached 848 thousand hectares with an estimated productivity of over 8 million tons of fruit. Out of the fruit growing areas, the production in the North accounted for about 300,000 </w:t>
      </w:r>
      <w:proofErr w:type="gramStart"/>
      <w:r w:rsidRPr="00C70DBF">
        <w:rPr>
          <w:rFonts w:ascii="Arial" w:eastAsia="Times New Roman" w:hAnsi="Arial" w:cs="Arial"/>
          <w:color w:val="000000"/>
          <w:szCs w:val="24"/>
        </w:rPr>
        <w:t>hectares,</w:t>
      </w:r>
      <w:proofErr w:type="gramEnd"/>
      <w:r w:rsidRPr="00C70DBF">
        <w:rPr>
          <w:rFonts w:ascii="Arial" w:eastAsia="Times New Roman" w:hAnsi="Arial" w:cs="Arial"/>
          <w:color w:val="000000"/>
          <w:szCs w:val="24"/>
        </w:rPr>
        <w:t xml:space="preserve"> meanwhile the Southern provinces have occupied over 500,000 hectares. Major fruit trees cultivated under large areas include banana, citrus, </w:t>
      </w:r>
      <w:proofErr w:type="spellStart"/>
      <w:r w:rsidRPr="00C70DBF">
        <w:rPr>
          <w:rFonts w:ascii="Arial" w:eastAsia="Times New Roman" w:hAnsi="Arial" w:cs="Arial"/>
          <w:color w:val="000000"/>
          <w:szCs w:val="24"/>
        </w:rPr>
        <w:t>longan</w:t>
      </w:r>
      <w:proofErr w:type="spellEnd"/>
      <w:r w:rsidRPr="00C70DBF">
        <w:rPr>
          <w:rFonts w:ascii="Arial" w:eastAsia="Times New Roman" w:hAnsi="Arial" w:cs="Arial"/>
          <w:color w:val="000000"/>
          <w:szCs w:val="24"/>
        </w:rPr>
        <w:t xml:space="preserve">, mango, dragon fruit, pineapple, durian, and </w:t>
      </w:r>
      <w:proofErr w:type="spellStart"/>
      <w:r w:rsidRPr="00C70DBF">
        <w:rPr>
          <w:rFonts w:ascii="Arial" w:eastAsia="Times New Roman" w:hAnsi="Arial" w:cs="Arial"/>
          <w:color w:val="000000"/>
          <w:szCs w:val="24"/>
        </w:rPr>
        <w:t>rambutan</w:t>
      </w:r>
      <w:proofErr w:type="spellEnd"/>
      <w:r w:rsidRPr="00C70DBF">
        <w:rPr>
          <w:rFonts w:ascii="Arial" w:eastAsia="Times New Roman" w:hAnsi="Arial" w:cs="Arial"/>
          <w:color w:val="000000"/>
          <w:szCs w:val="24"/>
        </w:rPr>
        <w:t xml:space="preserve">. In the South, provinces along the Mekong River Delta are the main tropical fruit producers of the country with an area of approximately 300 thousand hectares that contributes to 36.5% of the national total fruit production. Vietnam is one of the countries that have suffered most from the effects of climate change, such as great impacts on agricultural production in Vietnam. In the provinces along the Mekong River Delta, salinity intrusion is increasing in terms of both land area and severity. More than 10,000 hectares of fruit trees have been </w:t>
      </w:r>
      <w:proofErr w:type="spellStart"/>
      <w:r w:rsidRPr="00C70DBF">
        <w:rPr>
          <w:rFonts w:ascii="Arial" w:eastAsia="Times New Roman" w:hAnsi="Arial" w:cs="Arial"/>
          <w:color w:val="000000"/>
          <w:szCs w:val="24"/>
        </w:rPr>
        <w:t>salinated</w:t>
      </w:r>
      <w:proofErr w:type="spellEnd"/>
      <w:r w:rsidRPr="00C70DBF">
        <w:rPr>
          <w:rFonts w:ascii="Arial" w:eastAsia="Times New Roman" w:hAnsi="Arial" w:cs="Arial"/>
          <w:color w:val="000000"/>
          <w:szCs w:val="24"/>
        </w:rPr>
        <w:t xml:space="preserve"> to various degrees. In order to adapt to climate change, the Vietnamese government is making changes in its investment policies for agricultural production. The nation is also concentrating on investing in breeding and selection of fruit tree varieties that are tolerant of drought, resistant to major diseases, and has salt-tolerant rootstocks. The breeders have successfully selected some of fruit varieties/cultivars of good salinity tolerance used for citrus production.</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w:anchor="_top" w:history="1">
        <w:r w:rsidRPr="00C70DBF">
          <w:rPr>
            <w:rFonts w:ascii="Arial" w:eastAsia="Times New Roman" w:hAnsi="Arial" w:cs="Arial"/>
            <w:color w:val="1155CC"/>
            <w:szCs w:val="24"/>
            <w:u w:val="single"/>
          </w:rPr>
          <w:t>Back t</w:t>
        </w:r>
        <w:r w:rsidRPr="00C70DBF">
          <w:rPr>
            <w:rFonts w:ascii="Arial" w:eastAsia="Times New Roman" w:hAnsi="Arial" w:cs="Arial"/>
            <w:color w:val="1155CC"/>
            <w:szCs w:val="24"/>
            <w:u w:val="single"/>
          </w:rPr>
          <w:t>o</w:t>
        </w:r>
        <w:r w:rsidRPr="00C70DBF">
          <w:rPr>
            <w:rFonts w:ascii="Arial" w:eastAsia="Times New Roman" w:hAnsi="Arial" w:cs="Arial"/>
            <w:color w:val="1155CC"/>
            <w:szCs w:val="24"/>
            <w:u w:val="single"/>
          </w:rPr>
          <w:t xml:space="preserve"> top</w:t>
        </w:r>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6" w:name="m_2889938815520070680__Toc519521632"/>
      <w:proofErr w:type="gramStart"/>
      <w:r w:rsidRPr="00C70DBF">
        <w:rPr>
          <w:rFonts w:ascii="Calibri" w:eastAsia="Times New Roman" w:hAnsi="Calibri" w:cs="Calibri"/>
          <w:b/>
          <w:bCs/>
          <w:color w:val="800000"/>
          <w:sz w:val="22"/>
        </w:rPr>
        <w:t xml:space="preserve">Improving the Technical Efficiency of </w:t>
      </w:r>
      <w:proofErr w:type="spellStart"/>
      <w:r w:rsidRPr="00C70DBF">
        <w:rPr>
          <w:rFonts w:ascii="Calibri" w:eastAsia="Times New Roman" w:hAnsi="Calibri" w:cs="Calibri"/>
          <w:b/>
          <w:bCs/>
          <w:color w:val="800000"/>
          <w:sz w:val="22"/>
        </w:rPr>
        <w:t>Sengcu</w:t>
      </w:r>
      <w:proofErr w:type="spellEnd"/>
      <w:r w:rsidRPr="00C70DBF">
        <w:rPr>
          <w:rFonts w:ascii="Calibri" w:eastAsia="Times New Roman" w:hAnsi="Calibri" w:cs="Calibri"/>
          <w:b/>
          <w:bCs/>
          <w:color w:val="800000"/>
          <w:sz w:val="22"/>
        </w:rPr>
        <w:t xml:space="preserve"> Rice Producers through Better Financial Management and Sustainable Farming Practices in Mountainous Areas of Vietnam.</w:t>
      </w:r>
      <w:bookmarkEnd w:id="6"/>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proofErr w:type="gramStart"/>
      <w:r w:rsidRPr="00C70DBF">
        <w:rPr>
          <w:rFonts w:ascii="Arial" w:eastAsia="Times New Roman" w:hAnsi="Arial" w:cs="Arial"/>
          <w:color w:val="000000"/>
          <w:szCs w:val="24"/>
        </w:rPr>
        <w:lastRenderedPageBreak/>
        <w:t>Thi</w:t>
      </w:r>
      <w:proofErr w:type="spellEnd"/>
      <w:r w:rsidRPr="00C70DBF">
        <w:rPr>
          <w:rFonts w:ascii="Arial" w:eastAsia="Times New Roman" w:hAnsi="Arial" w:cs="Arial"/>
          <w:color w:val="000000"/>
          <w:szCs w:val="24"/>
        </w:rPr>
        <w:t xml:space="preserve"> Bui, </w:t>
      </w:r>
      <w:proofErr w:type="spellStart"/>
      <w:r w:rsidRPr="00C70DBF">
        <w:rPr>
          <w:rFonts w:ascii="Arial" w:eastAsia="Times New Roman" w:hAnsi="Arial" w:cs="Arial"/>
          <w:color w:val="000000"/>
          <w:szCs w:val="24"/>
        </w:rPr>
        <w:t>Huu</w:t>
      </w:r>
      <w:proofErr w:type="spellEnd"/>
      <w:r w:rsidRPr="00C70DBF">
        <w:rPr>
          <w:rFonts w:ascii="Arial" w:eastAsia="Times New Roman" w:hAnsi="Arial" w:cs="Arial"/>
          <w:color w:val="000000"/>
          <w:szCs w:val="24"/>
        </w:rPr>
        <w:t xml:space="preserve"> Tran, Hossein </w:t>
      </w:r>
      <w:proofErr w:type="spellStart"/>
      <w:r w:rsidRPr="00C70DBF">
        <w:rPr>
          <w:rFonts w:ascii="Arial" w:eastAsia="Times New Roman" w:hAnsi="Arial" w:cs="Arial"/>
          <w:color w:val="000000"/>
          <w:szCs w:val="24"/>
        </w:rPr>
        <w:t>Azadi</w:t>
      </w:r>
      <w:proofErr w:type="spellEnd"/>
      <w:r w:rsidRPr="00C70DBF">
        <w:rPr>
          <w:rFonts w:ascii="Arial" w:eastAsia="Times New Roman" w:hAnsi="Arial" w:cs="Arial"/>
          <w:color w:val="000000"/>
          <w:szCs w:val="24"/>
        </w:rPr>
        <w:t xml:space="preserve"> and Philippe </w:t>
      </w:r>
      <w:proofErr w:type="spellStart"/>
      <w:r w:rsidRPr="00C70DBF">
        <w:rPr>
          <w:rFonts w:ascii="Arial" w:eastAsia="Times New Roman" w:hAnsi="Arial" w:cs="Arial"/>
          <w:color w:val="000000"/>
          <w:szCs w:val="24"/>
        </w:rPr>
        <w:t>Lebailly</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Sustainability, 2018, volume 10, number 7, p. 2279.</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7" w:tgtFrame="_blank" w:history="1">
        <w:r w:rsidRPr="00C70DBF">
          <w:rPr>
            <w:rFonts w:ascii="Arial" w:eastAsia="Times New Roman" w:hAnsi="Arial" w:cs="Arial"/>
            <w:color w:val="1155CC"/>
            <w:szCs w:val="24"/>
            <w:u w:val="single"/>
          </w:rPr>
          <w:t>http://www.mdpi.com/2071-1050/10/7/2279</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paper analyzes the impacts of financial management and farming practices on the technical efficiency of </w:t>
      </w:r>
      <w:proofErr w:type="spellStart"/>
      <w:r w:rsidRPr="00C70DBF">
        <w:rPr>
          <w:rFonts w:ascii="Arial" w:eastAsia="Times New Roman" w:hAnsi="Arial" w:cs="Arial"/>
          <w:color w:val="000000"/>
          <w:szCs w:val="24"/>
        </w:rPr>
        <w:t>Sengcu</w:t>
      </w:r>
      <w:proofErr w:type="spellEnd"/>
      <w:r w:rsidRPr="00C70DBF">
        <w:rPr>
          <w:rFonts w:ascii="Arial" w:eastAsia="Times New Roman" w:hAnsi="Arial" w:cs="Arial"/>
          <w:color w:val="000000"/>
          <w:szCs w:val="24"/>
        </w:rPr>
        <w:t xml:space="preserve"> rice growers in </w:t>
      </w:r>
      <w:proofErr w:type="spellStart"/>
      <w:r w:rsidRPr="00C70DBF">
        <w:rPr>
          <w:rFonts w:ascii="Arial" w:eastAsia="Times New Roman" w:hAnsi="Arial" w:cs="Arial"/>
          <w:color w:val="000000"/>
          <w:szCs w:val="24"/>
        </w:rPr>
        <w:t>Laocai</w:t>
      </w:r>
      <w:proofErr w:type="spellEnd"/>
      <w:r w:rsidRPr="00C70DBF">
        <w:rPr>
          <w:rFonts w:ascii="Arial" w:eastAsia="Times New Roman" w:hAnsi="Arial" w:cs="Arial"/>
          <w:color w:val="000000"/>
          <w:szCs w:val="24"/>
        </w:rPr>
        <w:t>, a mountainous province of Vietnam. The stratified random sampling method was employed to select 170 households representing two typical ecologies, lowland and upland. The structured questionnaire was applied to collect primary data through face-to-face interviews regarding current farming practices in the 2016–2017 growing seasons and farm-specific characteristics. The importantly, the study makes recommendations for policy-makers regarding how to manage provision extension, irrigation, and credit services more effectively and for producers regarding how to better manage cash-flows and receive more benefits from public support in order to improve the effectiveness of rice production and make a livelihood while working towards sustainability.</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7" w:name="m_2889938815520070680__Toc519521633"/>
      <w:r w:rsidRPr="00C70DBF">
        <w:rPr>
          <w:rFonts w:ascii="Calibri" w:eastAsia="Times New Roman" w:hAnsi="Calibri" w:cs="Calibri"/>
          <w:b/>
          <w:bCs/>
          <w:color w:val="800000"/>
          <w:sz w:val="22"/>
        </w:rPr>
        <w:t xml:space="preserve">Profitability of organic vegetable production in Northwest Vietnam: evidence from Tan Lac District, </w:t>
      </w:r>
      <w:proofErr w:type="spellStart"/>
      <w:r w:rsidRPr="00C70DBF">
        <w:rPr>
          <w:rFonts w:ascii="Calibri" w:eastAsia="Times New Roman" w:hAnsi="Calibri" w:cs="Calibri"/>
          <w:b/>
          <w:bCs/>
          <w:color w:val="800000"/>
          <w:sz w:val="22"/>
        </w:rPr>
        <w:t>Hoa</w:t>
      </w:r>
      <w:proofErr w:type="spellEnd"/>
      <w:r w:rsidRPr="00C70DBF">
        <w:rPr>
          <w:rFonts w:ascii="Calibri" w:eastAsia="Times New Roman" w:hAnsi="Calibri" w:cs="Calibri"/>
          <w:b/>
          <w:bCs/>
          <w:color w:val="800000"/>
          <w:sz w:val="22"/>
        </w:rPr>
        <w:t xml:space="preserve"> </w:t>
      </w:r>
      <w:proofErr w:type="spellStart"/>
      <w:r w:rsidRPr="00C70DBF">
        <w:rPr>
          <w:rFonts w:ascii="Calibri" w:eastAsia="Times New Roman" w:hAnsi="Calibri" w:cs="Calibri"/>
          <w:b/>
          <w:bCs/>
          <w:color w:val="800000"/>
          <w:sz w:val="22"/>
        </w:rPr>
        <w:t>Binh</w:t>
      </w:r>
      <w:proofErr w:type="spellEnd"/>
      <w:r w:rsidRPr="00C70DBF">
        <w:rPr>
          <w:rFonts w:ascii="Calibri" w:eastAsia="Times New Roman" w:hAnsi="Calibri" w:cs="Calibri"/>
          <w:b/>
          <w:bCs/>
          <w:color w:val="800000"/>
          <w:sz w:val="22"/>
        </w:rPr>
        <w:t xml:space="preserve"> Province.</w:t>
      </w:r>
      <w:bookmarkEnd w:id="7"/>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Linh Pham and Gerald Shively.</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Organic Agriculture,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study compares the profitability of organic and conventional vegetable production in Tan Lac, a mountainous area in Northern Vietnam. The study is motivated by three questions: (1) </w:t>
      </w:r>
      <w:proofErr w:type="gramStart"/>
      <w:r w:rsidRPr="00C70DBF">
        <w:rPr>
          <w:rFonts w:ascii="Arial" w:eastAsia="Times New Roman" w:hAnsi="Arial" w:cs="Arial"/>
          <w:color w:val="000000"/>
          <w:szCs w:val="24"/>
        </w:rPr>
        <w:t>Is</w:t>
      </w:r>
      <w:proofErr w:type="gramEnd"/>
      <w:r w:rsidRPr="00C70DBF">
        <w:rPr>
          <w:rFonts w:ascii="Arial" w:eastAsia="Times New Roman" w:hAnsi="Arial" w:cs="Arial"/>
          <w:color w:val="000000"/>
          <w:szCs w:val="24"/>
        </w:rPr>
        <w:t xml:space="preserve"> organic vegetable production profitable, compared with conventional production? (2) Who among the vegetable farmers in Tan Lac tended to adopt organic production methods? And (3) what could be done to improve the overall success of organic farmers in Tan Lac? Data were collected from a household survey of 95 smallholder farmers. Focus group discussions and key informant interviews were also used to learn about farming practices and challenges in the area. A series of regressions are used to examine the comparative profitability of organic and conventional vegetable production and common characteristics of organic adopters. The results show that, on average, 1 ha of vegetables produced organically is about 41% less profitable than 1 ha of vegetables produced using conventional methods. However, this average difference can be attributed largely to the success of a small number of conventional farmers in the sample. Quantile regression results show that median outcomes did not differ significantly between the two groups. The choice of marketing channel is correlated with profitability. Organic farming success could be improved if marketing plans were established in conjunction with production plans and if smallholders cooperated on production and marketing plans.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8" w:name="m_2889938815520070680__Toc519521634"/>
      <w:proofErr w:type="gramStart"/>
      <w:r w:rsidRPr="00C70DBF">
        <w:rPr>
          <w:rFonts w:ascii="Calibri" w:eastAsia="Times New Roman" w:hAnsi="Calibri" w:cs="Calibri"/>
          <w:b/>
          <w:bCs/>
          <w:color w:val="800000"/>
          <w:sz w:val="22"/>
        </w:rPr>
        <w:t>Financial analysis and comparison of smallholder forest and state forest enterprise plantations in Central Vietnam.</w:t>
      </w:r>
      <w:bookmarkEnd w:id="8"/>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G. E. Frey, F. W. </w:t>
      </w:r>
      <w:proofErr w:type="spellStart"/>
      <w:r w:rsidRPr="00C70DBF">
        <w:rPr>
          <w:rFonts w:ascii="Arial" w:eastAsia="Times New Roman" w:hAnsi="Arial" w:cs="Arial"/>
          <w:color w:val="000000"/>
          <w:szCs w:val="24"/>
        </w:rPr>
        <w:t>Cubbage</w:t>
      </w:r>
      <w:proofErr w:type="spellEnd"/>
      <w:r w:rsidRPr="00C70DBF">
        <w:rPr>
          <w:rFonts w:ascii="Arial" w:eastAsia="Times New Roman" w:hAnsi="Arial" w:cs="Arial"/>
          <w:color w:val="000000"/>
          <w:szCs w:val="24"/>
        </w:rPr>
        <w:t>, T. T. T. Ha, R. R. Davis, J. B. Carle and others. International Forestry Review, 2018, volume 20, number 2, pp. 181-198.</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State forest enterprises (SFEs) in Vietnam for decades were the main source of industrial wood production, but smallholder forest plantations have become common. Smallholders need positive financial returns to be viable. Likewise, financial returns are an important consideration of proposals to turn SFEs into joint ventures, because the potentially involved private companies would seek reasonable returns on investment. Financial analyses of smallholder and SFE forest plantations were undertaken to evaluate their competitiveness and profitability, and to assess opportunities and challenges for the sector. It was found that forest plantations in Vietnam, under current market conditions, can be profitable. Smallholders who received technical assistance and financial support could generate average land expectation values (LEVs) of about US$ 5 100/ha at 8% discount rate. Even without financial support, and assuming smallholders pay for the cost of technical assistance, average LEVs were about US$ 4 600/ha. Smallholders participating in a Forest Stewardship Council (FSC) certification pilot had higher LEVs, assuming price premiums for certified wood. Positive LEVs were robust to lower wood price and higher discount rates. SFEs, on the other hand, had poorer returns because of lower growth and yield of wood, which may be due to differences in sites and management. Vietnamese wood producers are competitive internationally, and have opportunities to tap domestic and international markets.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w:anchor="_top" w:history="1">
        <w:r w:rsidR="00A028EE">
          <w:rPr>
            <w:rStyle w:val="Hyperlink"/>
          </w:rPr>
          <w:t>Back to top</w:t>
        </w:r>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9" w:name="m_2889938815520070680__Toc519521635"/>
      <w:r w:rsidRPr="00C70DBF">
        <w:rPr>
          <w:rFonts w:ascii="Calibri" w:eastAsia="Times New Roman" w:hAnsi="Calibri" w:cs="Calibri"/>
          <w:b/>
          <w:bCs/>
          <w:color w:val="800000"/>
          <w:sz w:val="22"/>
        </w:rPr>
        <w:t>Forest devolution in Vietnam: From rhetoric to performance.</w:t>
      </w:r>
      <w:bookmarkEnd w:id="9"/>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proofErr w:type="gram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Kim </w:t>
      </w:r>
      <w:proofErr w:type="spellStart"/>
      <w:r w:rsidRPr="00C70DBF">
        <w:rPr>
          <w:rFonts w:ascii="Arial" w:eastAsia="Times New Roman" w:hAnsi="Arial" w:cs="Arial"/>
          <w:color w:val="000000"/>
          <w:szCs w:val="24"/>
        </w:rPr>
        <w:t>Phung</w:t>
      </w:r>
      <w:proofErr w:type="spellEnd"/>
      <w:r w:rsidRPr="00C70DBF">
        <w:rPr>
          <w:rFonts w:ascii="Arial" w:eastAsia="Times New Roman" w:hAnsi="Arial" w:cs="Arial"/>
          <w:color w:val="000000"/>
          <w:szCs w:val="24"/>
        </w:rPr>
        <w:t xml:space="preserve"> Dang, Ingrid J. </w:t>
      </w:r>
      <w:proofErr w:type="spellStart"/>
      <w:r w:rsidRPr="00C70DBF">
        <w:rPr>
          <w:rFonts w:ascii="Arial" w:eastAsia="Times New Roman" w:hAnsi="Arial" w:cs="Arial"/>
          <w:color w:val="000000"/>
          <w:szCs w:val="24"/>
        </w:rPr>
        <w:t>Visseren-Hamakers</w:t>
      </w:r>
      <w:proofErr w:type="spellEnd"/>
      <w:r w:rsidRPr="00C70DBF">
        <w:rPr>
          <w:rFonts w:ascii="Arial" w:eastAsia="Times New Roman" w:hAnsi="Arial" w:cs="Arial"/>
          <w:color w:val="000000"/>
          <w:szCs w:val="24"/>
        </w:rPr>
        <w:t xml:space="preserve"> and Bas Arts.</w:t>
      </w:r>
      <w:proofErr w:type="gramEnd"/>
      <w:r w:rsidRPr="00C70DBF">
        <w:rPr>
          <w:rFonts w:ascii="Arial" w:eastAsia="Times New Roman" w:hAnsi="Arial" w:cs="Arial"/>
          <w:color w:val="000000"/>
          <w:szCs w:val="24"/>
        </w:rPr>
        <w:t xml:space="preserve"> Land Use Policy, 2018, volume 77, pp. 760-774.</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paper discusses the performance of forest devolution, the major reform in forestry in developing countries over the last two decades. Although this change in forest governance has been studied by many scholars, the impacts of forest devolution and the various ways to measure them are still under discussion. This paper contributes to this discussion by evaluating the performance of a specific forest devolution policy, namely, forest land allocation (FLA) in Vietnam. The study is based on the policy </w:t>
      </w:r>
      <w:r w:rsidRPr="00C70DBF">
        <w:rPr>
          <w:rFonts w:ascii="Arial" w:eastAsia="Times New Roman" w:hAnsi="Arial" w:cs="Arial"/>
          <w:color w:val="000000"/>
          <w:szCs w:val="24"/>
        </w:rPr>
        <w:lastRenderedPageBreak/>
        <w:t xml:space="preserve">arrangement approach to operationalize the concept of ‘governance performance,’ and particularly focuses on the local people’s involvement in the policy. Overall, our findings from three regions of Vietnam reveal a medium governance performance for FLA. The main explanation for this performance is the tradeoffs between the two key policy goals: forest rehabilitation and to increase local income. These tradeoffs are shaped by various factors, namely, the strategic use of forest rights by target groups, social learning by state and </w:t>
      </w:r>
      <w:proofErr w:type="spellStart"/>
      <w:r w:rsidRPr="00C70DBF">
        <w:rPr>
          <w:rFonts w:ascii="Arial" w:eastAsia="Times New Roman" w:hAnsi="Arial" w:cs="Arial"/>
          <w:color w:val="000000"/>
          <w:szCs w:val="24"/>
        </w:rPr>
        <w:t>nonstate</w:t>
      </w:r>
      <w:proofErr w:type="spellEnd"/>
      <w:r w:rsidRPr="00C70DBF">
        <w:rPr>
          <w:rFonts w:ascii="Arial" w:eastAsia="Times New Roman" w:hAnsi="Arial" w:cs="Arial"/>
          <w:color w:val="000000"/>
          <w:szCs w:val="24"/>
        </w:rPr>
        <w:t xml:space="preserve"> actors, and unanticipated effects on the ground.</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10" w:name="m_2889938815520070680__Toc519521636"/>
      <w:r w:rsidRPr="00C70DBF">
        <w:rPr>
          <w:rFonts w:ascii="Calibri" w:eastAsia="Times New Roman" w:hAnsi="Calibri" w:cs="Calibri"/>
          <w:b/>
          <w:bCs/>
          <w:color w:val="800000"/>
          <w:sz w:val="22"/>
        </w:rPr>
        <w:t xml:space="preserve">Spatial pattern assessment of tropical forest fire danger at </w:t>
      </w:r>
      <w:proofErr w:type="spellStart"/>
      <w:r w:rsidRPr="00C70DBF">
        <w:rPr>
          <w:rFonts w:ascii="Calibri" w:eastAsia="Times New Roman" w:hAnsi="Calibri" w:cs="Calibri"/>
          <w:b/>
          <w:bCs/>
          <w:color w:val="800000"/>
          <w:sz w:val="22"/>
        </w:rPr>
        <w:t>Thuan</w:t>
      </w:r>
      <w:proofErr w:type="spellEnd"/>
      <w:r w:rsidRPr="00C70DBF">
        <w:rPr>
          <w:rFonts w:ascii="Calibri" w:eastAsia="Times New Roman" w:hAnsi="Calibri" w:cs="Calibri"/>
          <w:b/>
          <w:bCs/>
          <w:color w:val="800000"/>
          <w:sz w:val="22"/>
        </w:rPr>
        <w:t xml:space="preserve"> Chau area (Vietnam) using GIS-based advanced machine learning algorithms: A comparative study.</w:t>
      </w:r>
      <w:bookmarkEnd w:id="10"/>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Nguyen Ngoc Thach, Dang </w:t>
      </w:r>
      <w:proofErr w:type="spellStart"/>
      <w:r w:rsidRPr="00C70DBF">
        <w:rPr>
          <w:rFonts w:ascii="Arial" w:eastAsia="Times New Roman" w:hAnsi="Arial" w:cs="Arial"/>
          <w:color w:val="000000"/>
          <w:szCs w:val="24"/>
        </w:rPr>
        <w:t>Bao-Toan</w:t>
      </w:r>
      <w:proofErr w:type="spellEnd"/>
      <w:r w:rsidRPr="00C70DBF">
        <w:rPr>
          <w:rFonts w:ascii="Arial" w:eastAsia="Times New Roman" w:hAnsi="Arial" w:cs="Arial"/>
          <w:color w:val="000000"/>
          <w:szCs w:val="24"/>
        </w:rPr>
        <w:t xml:space="preserve"> Ngo, Pham Xuan-</w:t>
      </w:r>
      <w:proofErr w:type="spellStart"/>
      <w:r w:rsidRPr="00C70DBF">
        <w:rPr>
          <w:rFonts w:ascii="Arial" w:eastAsia="Times New Roman" w:hAnsi="Arial" w:cs="Arial"/>
          <w:color w:val="000000"/>
          <w:szCs w:val="24"/>
        </w:rPr>
        <w:t>Canh</w:t>
      </w:r>
      <w:proofErr w:type="spellEnd"/>
      <w:r w:rsidRPr="00C70DBF">
        <w:rPr>
          <w:rFonts w:ascii="Arial" w:eastAsia="Times New Roman" w:hAnsi="Arial" w:cs="Arial"/>
          <w:color w:val="000000"/>
          <w:szCs w:val="24"/>
        </w:rPr>
        <w:t>, Nguyen Hong-</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Bui Hang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and others. </w:t>
      </w:r>
      <w:proofErr w:type="gramStart"/>
      <w:r w:rsidRPr="00C70DBF">
        <w:rPr>
          <w:rFonts w:ascii="Arial" w:eastAsia="Times New Roman" w:hAnsi="Arial" w:cs="Arial"/>
          <w:color w:val="000000"/>
          <w:szCs w:val="24"/>
        </w:rPr>
        <w:t>Ecological Informatics, 2018, volume 46, pp. 74-85.</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w:t>
      </w:r>
      <w:proofErr w:type="spellStart"/>
      <w:r w:rsidRPr="00C70DBF">
        <w:rPr>
          <w:rFonts w:ascii="Arial" w:eastAsia="Times New Roman" w:hAnsi="Arial" w:cs="Arial"/>
          <w:color w:val="000000"/>
          <w:szCs w:val="24"/>
        </w:rPr>
        <w:t>Thuan</w:t>
      </w:r>
      <w:proofErr w:type="spellEnd"/>
      <w:r w:rsidRPr="00C70DBF">
        <w:rPr>
          <w:rFonts w:ascii="Arial" w:eastAsia="Times New Roman" w:hAnsi="Arial" w:cs="Arial"/>
          <w:color w:val="000000"/>
          <w:szCs w:val="24"/>
        </w:rPr>
        <w:t xml:space="preserve"> Chau is a serious district affected by forest fire in Vietnam, especially in 2016; however, no forest fire prediction research has been conducted for this region. Thus, knowledge of spatial patterns of fire danger of the district plays a key role in forest succession and ecological implications. This study's aim was to analyze the spatial pattern of fire danger for the tropical forest of </w:t>
      </w:r>
      <w:proofErr w:type="spellStart"/>
      <w:r w:rsidRPr="00C70DBF">
        <w:rPr>
          <w:rFonts w:ascii="Arial" w:eastAsia="Times New Roman" w:hAnsi="Arial" w:cs="Arial"/>
          <w:color w:val="000000"/>
          <w:szCs w:val="24"/>
        </w:rPr>
        <w:t>Thuan</w:t>
      </w:r>
      <w:proofErr w:type="spellEnd"/>
      <w:r w:rsidRPr="00C70DBF">
        <w:rPr>
          <w:rFonts w:ascii="Arial" w:eastAsia="Times New Roman" w:hAnsi="Arial" w:cs="Arial"/>
          <w:color w:val="000000"/>
          <w:szCs w:val="24"/>
        </w:rPr>
        <w:t xml:space="preserve"> Chau district using advanced machine learning algorithms, Support Vector Machine classifier (SVMC), Random Forests (RF), and Multilayer Perceptron Neural Network (MLP-Net). For this purpose, a GIS database for the study area was established with 564 forest fire locations and ten forest fire variables. Then, Pearson correlation method was used to assess the correlation of the variables with the forest fire. In the next step, three forest fire danger models, SVMC, RF, and MLP-Net, were trained and validated. Finally, global performance of these models was assessed using the classification accuracy (ACC), Kappa statistics (KS), Area under the curve (AUC). In addition, Wilcoxon signed-rank test was employed to check the prediction performance of these models. The result shows the three models performed well; however, the MLP-Net model has the highest prediction performance (ACC = 81.7, KS = 0.633, and AUC = 0.894), followed by the RF model (ACC = 81.1, KS = 0.621, and AUC = 0.883), and the SVMC model (ACC = 80.2, KS = 0.604, and AUC = 0.867). The result in this study is useful for the local authority and forest manager in forest management and fire suppression.</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11" w:name="m_2889938815520070680__Toc519521637"/>
      <w:proofErr w:type="gramStart"/>
      <w:r w:rsidRPr="00C70DBF">
        <w:rPr>
          <w:rFonts w:ascii="Calibri" w:eastAsia="Times New Roman" w:hAnsi="Calibri" w:cs="Calibri"/>
          <w:b/>
          <w:bCs/>
          <w:color w:val="800000"/>
          <w:sz w:val="22"/>
        </w:rPr>
        <w:t>Willingness to pay for mangrove restoration in the context of climate change in the Cat Ba biosphere reserve, Vietnam.</w:t>
      </w:r>
      <w:bookmarkEnd w:id="11"/>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Tien </w:t>
      </w:r>
      <w:proofErr w:type="spellStart"/>
      <w:r w:rsidRPr="00C70DBF">
        <w:rPr>
          <w:rFonts w:ascii="Arial" w:eastAsia="Times New Roman" w:hAnsi="Arial" w:cs="Arial"/>
          <w:color w:val="000000"/>
          <w:szCs w:val="24"/>
        </w:rPr>
        <w:t>Dat</w:t>
      </w:r>
      <w:proofErr w:type="spellEnd"/>
      <w:r w:rsidRPr="00C70DBF">
        <w:rPr>
          <w:rFonts w:ascii="Arial" w:eastAsia="Times New Roman" w:hAnsi="Arial" w:cs="Arial"/>
          <w:color w:val="000000"/>
          <w:szCs w:val="24"/>
        </w:rPr>
        <w:t xml:space="preserve"> Pham, Naoko </w:t>
      </w:r>
      <w:proofErr w:type="spellStart"/>
      <w:r w:rsidRPr="00C70DBF">
        <w:rPr>
          <w:rFonts w:ascii="Arial" w:eastAsia="Times New Roman" w:hAnsi="Arial" w:cs="Arial"/>
          <w:color w:val="000000"/>
          <w:szCs w:val="24"/>
        </w:rPr>
        <w:t>Kaida</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Kunihiko</w:t>
      </w:r>
      <w:proofErr w:type="spellEnd"/>
      <w:r w:rsidRPr="00C70DBF">
        <w:rPr>
          <w:rFonts w:ascii="Arial" w:eastAsia="Times New Roman" w:hAnsi="Arial" w:cs="Arial"/>
          <w:color w:val="000000"/>
          <w:szCs w:val="24"/>
        </w:rPr>
        <w:t xml:space="preserve"> Yoshino, Xuan </w:t>
      </w:r>
      <w:proofErr w:type="spellStart"/>
      <w:r w:rsidRPr="00C70DBF">
        <w:rPr>
          <w:rFonts w:ascii="Arial" w:eastAsia="Times New Roman" w:hAnsi="Arial" w:cs="Arial"/>
          <w:color w:val="000000"/>
          <w:szCs w:val="24"/>
        </w:rPr>
        <w:t>Huu</w:t>
      </w:r>
      <w:proofErr w:type="spellEnd"/>
      <w:r w:rsidRPr="00C70DBF">
        <w:rPr>
          <w:rFonts w:ascii="Arial" w:eastAsia="Times New Roman" w:hAnsi="Arial" w:cs="Arial"/>
          <w:color w:val="000000"/>
          <w:szCs w:val="24"/>
        </w:rPr>
        <w:t xml:space="preserve"> Nguyen, </w:t>
      </w:r>
      <w:proofErr w:type="spellStart"/>
      <w:r w:rsidRPr="00C70DBF">
        <w:rPr>
          <w:rFonts w:ascii="Arial" w:eastAsia="Times New Roman" w:hAnsi="Arial" w:cs="Arial"/>
          <w:color w:val="000000"/>
          <w:szCs w:val="24"/>
        </w:rPr>
        <w:t>Hao</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Nguyen and others. Ocean &amp; Coastal Management, 2018, volume 163, pp. 269-277.</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 xml:space="preserve">Abstract: The Cat Ba Archipelago is an island chain bordering Hai </w:t>
      </w:r>
      <w:proofErr w:type="spellStart"/>
      <w:r w:rsidRPr="00C70DBF">
        <w:rPr>
          <w:rFonts w:ascii="Arial" w:eastAsia="Times New Roman" w:hAnsi="Arial" w:cs="Arial"/>
          <w:color w:val="000000"/>
          <w:szCs w:val="24"/>
        </w:rPr>
        <w:t>Phong</w:t>
      </w:r>
      <w:proofErr w:type="spellEnd"/>
      <w:r w:rsidRPr="00C70DBF">
        <w:rPr>
          <w:rFonts w:ascii="Arial" w:eastAsia="Times New Roman" w:hAnsi="Arial" w:cs="Arial"/>
          <w:color w:val="000000"/>
          <w:szCs w:val="24"/>
        </w:rPr>
        <w:t xml:space="preserve"> City in North Vietnam and has been recognized as a biosphere reserve by the United Nations Educational, Scientific and Cultural Organization (UNESCO) since 2004. However, the mangrove forest ecosystem of this reserve has suffered severe degradation due to its partial conversion to shrimp aquaculture. The restoration of the mangroves is expected to play an important role in dealing with climate change impacts, given their ability to mitigate the impact of tropical storms. This study examined the factors influencing the willingness to pay (WTP) for mangrove restoration in the context of climate change in the mangrove forest ecosystems of the Cat Ba Biosphere Reserve (CBBR), Vietnam. We employed a contingent valuation method to estimate household WTP for mangrove restoration, drawing upon data from a survey of 205 respondents in four villages in the buffer and transition zones of the biosphere reserve where mangrove forests are found. The mean WTP is estimated to be 192,780 VND (US$8.64), while the total annual benefit from the mangrove conservation programs of the CBBR is estimated at 712.3 million VND (US$31,943). The results revealed that gender, education level, occupation, the participation of respondents in mangrove restoration activities, and their attitudes toward the impact of climate change were significant factors in their WTP for mangrove restoration. Since mangroves can significantly contribute to mitigating climate change impacts by easing the effect of tropical storms and protecting dyke systems, the local government of Hai </w:t>
      </w:r>
      <w:proofErr w:type="spellStart"/>
      <w:r w:rsidRPr="00C70DBF">
        <w:rPr>
          <w:rFonts w:ascii="Arial" w:eastAsia="Times New Roman" w:hAnsi="Arial" w:cs="Arial"/>
          <w:color w:val="000000"/>
          <w:szCs w:val="24"/>
        </w:rPr>
        <w:t>Phong</w:t>
      </w:r>
      <w:proofErr w:type="spellEnd"/>
      <w:r w:rsidRPr="00C70DBF">
        <w:rPr>
          <w:rFonts w:ascii="Arial" w:eastAsia="Times New Roman" w:hAnsi="Arial" w:cs="Arial"/>
          <w:color w:val="000000"/>
          <w:szCs w:val="24"/>
        </w:rPr>
        <w:t xml:space="preserve"> City should implement the necessary regulations and policies to conserve the mangrove forests of the Biosphere Reserve.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8"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12" w:name="m_2889938815520070680__Toc519521638"/>
      <w:r w:rsidRPr="00C70DBF">
        <w:rPr>
          <w:rFonts w:ascii="Calibri" w:eastAsia="Times New Roman" w:hAnsi="Calibri" w:cs="Calibri"/>
          <w:b/>
          <w:bCs/>
          <w:color w:val="800000"/>
          <w:sz w:val="22"/>
        </w:rPr>
        <w:t>Vietnam’s Post-1975 Agrarian Reforms: How local politics derailed socialist agriculture in southern Vietnam.</w:t>
      </w:r>
      <w:bookmarkEnd w:id="12"/>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13" w:name="m_2889938815520070680__Toc519521639"/>
      <w:proofErr w:type="spellStart"/>
      <w:r w:rsidRPr="00C70DBF">
        <w:rPr>
          <w:rFonts w:ascii="Calibri" w:eastAsia="Times New Roman" w:hAnsi="Calibri" w:cs="Calibri"/>
          <w:b/>
          <w:bCs/>
          <w:color w:val="800000"/>
          <w:sz w:val="22"/>
        </w:rPr>
        <w:t>Trung</w:t>
      </w:r>
      <w:proofErr w:type="spellEnd"/>
      <w:r w:rsidRPr="00C70DBF">
        <w:rPr>
          <w:rFonts w:ascii="Calibri" w:eastAsia="Times New Roman" w:hAnsi="Calibri" w:cs="Calibri"/>
          <w:b/>
          <w:bCs/>
          <w:color w:val="800000"/>
          <w:sz w:val="22"/>
        </w:rPr>
        <w:t xml:space="preserve"> Dang. </w:t>
      </w:r>
      <w:proofErr w:type="gramStart"/>
      <w:r w:rsidRPr="00C70DBF">
        <w:rPr>
          <w:rFonts w:ascii="Calibri" w:eastAsia="Times New Roman" w:hAnsi="Calibri" w:cs="Calibri"/>
          <w:b/>
          <w:bCs/>
          <w:color w:val="800000"/>
          <w:sz w:val="22"/>
        </w:rPr>
        <w:t>ANU Press, 2018.</w:t>
      </w:r>
      <w:bookmarkEnd w:id="13"/>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9" w:tgtFrame="_blank" w:history="1">
        <w:r w:rsidRPr="00C70DBF">
          <w:rPr>
            <w:rFonts w:ascii="Arial" w:eastAsia="Times New Roman" w:hAnsi="Arial" w:cs="Arial"/>
            <w:color w:val="1155CC"/>
            <w:szCs w:val="24"/>
            <w:u w:val="single"/>
          </w:rPr>
          <w:t>https://press.anu.edu.au/publications/vietnam-series/vietnam%E2%80%99s-post-1975-agrarian-reforms</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book investigates why </w:t>
      </w:r>
      <w:proofErr w:type="spellStart"/>
      <w:r w:rsidRPr="00C70DBF">
        <w:rPr>
          <w:rFonts w:ascii="Arial" w:eastAsia="Times New Roman" w:hAnsi="Arial" w:cs="Arial"/>
          <w:color w:val="000000"/>
          <w:szCs w:val="24"/>
        </w:rPr>
        <w:t>collectivised</w:t>
      </w:r>
      <w:proofErr w:type="spellEnd"/>
      <w:r w:rsidRPr="00C70DBF">
        <w:rPr>
          <w:rFonts w:ascii="Arial" w:eastAsia="Times New Roman" w:hAnsi="Arial" w:cs="Arial"/>
          <w:color w:val="000000"/>
          <w:szCs w:val="24"/>
        </w:rPr>
        <w:t xml:space="preserve"> farming failed in </w:t>
      </w:r>
      <w:proofErr w:type="gramStart"/>
      <w:r w:rsidRPr="00C70DBF">
        <w:rPr>
          <w:rFonts w:ascii="Arial" w:eastAsia="Times New Roman" w:hAnsi="Arial" w:cs="Arial"/>
          <w:color w:val="000000"/>
          <w:szCs w:val="24"/>
        </w:rPr>
        <w:t>south</w:t>
      </w:r>
      <w:proofErr w:type="gramEnd"/>
      <w:r w:rsidRPr="00C70DBF">
        <w:rPr>
          <w:rFonts w:ascii="Arial" w:eastAsia="Times New Roman" w:hAnsi="Arial" w:cs="Arial"/>
          <w:color w:val="000000"/>
          <w:szCs w:val="24"/>
        </w:rPr>
        <w:t xml:space="preserve"> Vietnam after 1975. Despite the strong will of the new regime to implement </w:t>
      </w:r>
      <w:proofErr w:type="spellStart"/>
      <w:r w:rsidRPr="00C70DBF">
        <w:rPr>
          <w:rFonts w:ascii="Arial" w:eastAsia="Times New Roman" w:hAnsi="Arial" w:cs="Arial"/>
          <w:color w:val="000000"/>
          <w:szCs w:val="24"/>
        </w:rPr>
        <w:t>collectivisation</w:t>
      </w:r>
      <w:proofErr w:type="spellEnd"/>
      <w:r w:rsidRPr="00C70DBF">
        <w:rPr>
          <w:rFonts w:ascii="Arial" w:eastAsia="Times New Roman" w:hAnsi="Arial" w:cs="Arial"/>
          <w:color w:val="000000"/>
          <w:szCs w:val="24"/>
        </w:rPr>
        <w:t>, the effort was uneven, misapplied and subverted. After only 10 years of trying, the regime annulled the policy. Focusing on two case studies—</w:t>
      </w:r>
      <w:proofErr w:type="spellStart"/>
      <w:r w:rsidRPr="00C70DBF">
        <w:rPr>
          <w:rFonts w:ascii="Arial" w:eastAsia="Times New Roman" w:hAnsi="Arial" w:cs="Arial"/>
          <w:color w:val="000000"/>
          <w:szCs w:val="24"/>
        </w:rPr>
        <w:t>Quảng</w:t>
      </w:r>
      <w:proofErr w:type="spellEnd"/>
      <w:r w:rsidRPr="00C70DBF">
        <w:rPr>
          <w:rFonts w:ascii="Arial" w:eastAsia="Times New Roman" w:hAnsi="Arial" w:cs="Arial"/>
          <w:color w:val="000000"/>
          <w:szCs w:val="24"/>
        </w:rPr>
        <w:t xml:space="preserve"> Nam province in the Central Coast region and An </w:t>
      </w:r>
      <w:proofErr w:type="spellStart"/>
      <w:r w:rsidRPr="00C70DBF">
        <w:rPr>
          <w:rFonts w:ascii="Arial" w:eastAsia="Times New Roman" w:hAnsi="Arial" w:cs="Arial"/>
          <w:color w:val="000000"/>
          <w:szCs w:val="24"/>
        </w:rPr>
        <w:t>Giang</w:t>
      </w:r>
      <w:proofErr w:type="spellEnd"/>
      <w:r w:rsidRPr="00C70DBF">
        <w:rPr>
          <w:rFonts w:ascii="Arial" w:eastAsia="Times New Roman" w:hAnsi="Arial" w:cs="Arial"/>
          <w:color w:val="000000"/>
          <w:szCs w:val="24"/>
        </w:rPr>
        <w:t xml:space="preserve"> province in the Mekong Delta—and based on extensive evidence, this study argues that the reasons for variations in implementation and the failure and reversal of the policy were twofold: regional differences and local politics.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14" w:name="m_2889938815520070680__Toc519521640"/>
      <w:proofErr w:type="gramStart"/>
      <w:r w:rsidRPr="00C70DBF">
        <w:rPr>
          <w:rFonts w:ascii="Calibri" w:eastAsia="Times New Roman" w:hAnsi="Calibri" w:cs="Calibri"/>
          <w:b/>
          <w:bCs/>
          <w:color w:val="800000"/>
          <w:sz w:val="22"/>
        </w:rPr>
        <w:t>Managing Weather-Related Disasters in Southeast Asian Agriculture.</w:t>
      </w:r>
      <w:bookmarkEnd w:id="14"/>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lastRenderedPageBreak/>
        <w:t>OECD.</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OECD Studies on Water,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10" w:tgtFrame="_blank" w:history="1">
        <w:r w:rsidRPr="00C70DBF">
          <w:rPr>
            <w:rFonts w:ascii="Arial" w:eastAsia="Times New Roman" w:hAnsi="Arial" w:cs="Arial"/>
            <w:color w:val="1155CC"/>
            <w:szCs w:val="24"/>
            <w:u w:val="single"/>
          </w:rPr>
          <w:t>http://www.oecd.org/publications/managing-weather-related-disasters-in-southeast-asian-agriculture-9789264123533-en.htm</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Southeast Asia’s exposure to increasingly frequent and intense weather-related disasters is a growing concern for agricultural producers of the region. This study reviews policy approaches to droughts, floods and typhoons in Myanmar, the Philippines, Thailand and Viet Nam in an effort to identify good practices and strengthen the resilience of the agricultural sector. The study assesses the risk exposure of this sector to weather-related disasters and reviews risk management policies using an OECD policy framework on the mitigation of droughts and floods in agriculture as a benchmark.</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11"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15" w:name="m_2889938815520070680__Toc519521641"/>
      <w:r w:rsidRPr="00C70DBF">
        <w:rPr>
          <w:rFonts w:ascii="Arial" w:eastAsia="Times New Roman" w:hAnsi="Arial" w:cs="Arial"/>
          <w:b/>
          <w:bCs/>
          <w:color w:val="FFFFFF"/>
          <w:kern w:val="36"/>
          <w:sz w:val="48"/>
          <w:szCs w:val="48"/>
        </w:rPr>
        <w:t>ECONOMIC DEVELOPMENT</w:t>
      </w:r>
      <w:bookmarkEnd w:id="15"/>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16" w:name="m_2889938815520070680__Toc519521642"/>
      <w:r w:rsidRPr="00C70DBF">
        <w:rPr>
          <w:rFonts w:ascii="Calibri" w:eastAsia="Times New Roman" w:hAnsi="Calibri" w:cs="Calibri"/>
          <w:b/>
          <w:bCs/>
          <w:color w:val="800000"/>
          <w:sz w:val="22"/>
        </w:rPr>
        <w:t>What Graphs do International Investors See in the ASEAN Capital Markets?</w:t>
      </w:r>
      <w:bookmarkEnd w:id="16"/>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U. </w:t>
      </w:r>
      <w:proofErr w:type="spellStart"/>
      <w:r w:rsidRPr="00C70DBF">
        <w:rPr>
          <w:rFonts w:ascii="Arial" w:eastAsia="Times New Roman" w:hAnsi="Arial" w:cs="Arial"/>
          <w:color w:val="000000"/>
          <w:szCs w:val="24"/>
        </w:rPr>
        <w:t>Tanlamai</w:t>
      </w:r>
      <w:proofErr w:type="spell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2018 IEEE 42nd Annual Computer Software and Applications Conference (COMPSAC),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12" w:tgtFrame="_blank" w:history="1">
        <w:r w:rsidRPr="00C70DBF">
          <w:rPr>
            <w:rFonts w:ascii="Arial" w:eastAsia="Times New Roman" w:hAnsi="Arial" w:cs="Arial"/>
            <w:color w:val="1155CC"/>
            <w:szCs w:val="24"/>
            <w:u w:val="single"/>
          </w:rPr>
          <w:t>https://www.computer.org/csdl/proceedings/compsac/2018/2666/00/266601a327-abs.html</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To remain successful in a world of proliferating business graphs, international investors and other users must be aware of possible graphical misrepresentations. Naïve investors can be easily misled by distorted business graphs and make investments on the basis of their ostensibly computer-generated data. This study examines the relationship between graph distortion measures and firms' financial performance. We manually collected publicly available data from 2015 for 370 companies, across three industry sectors, trading on the stock exchanges of six ASEAN countries—Malaysia, Indonesia, Philippines, Singapore, Thailand and Vietnam. After several rounds of filtering, 3,897 usable graphs were measured for distortion using the relative graph discrepancy index (RGD). The results show that the graphs produced by </w:t>
      </w:r>
      <w:r w:rsidRPr="00C70DBF">
        <w:rPr>
          <w:rFonts w:ascii="Arial" w:eastAsia="Times New Roman" w:hAnsi="Arial" w:cs="Arial"/>
          <w:color w:val="000000"/>
          <w:szCs w:val="24"/>
        </w:rPr>
        <w:lastRenderedPageBreak/>
        <w:t>fast-growing, developing markets, such as the Philippines and Thailand, have high average distortion scores, whereas those produced by mature markets, such as Singapore, have low graph distortion scores. However, the relationship between graph distortion scores and firm performance is inconclusive. Findings from the archival data were triangulated with perceptual data collected through an online survey of 38 MBA students. The archival data appear to indicate a negative relationship, whereas the perceptual data suggest a positive one.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17" w:name="m_2889938815520070680__Toc519521643"/>
      <w:r w:rsidRPr="00C70DBF">
        <w:rPr>
          <w:rFonts w:ascii="Calibri" w:eastAsia="Times New Roman" w:hAnsi="Calibri" w:cs="Calibri"/>
          <w:b/>
          <w:bCs/>
          <w:color w:val="800000"/>
          <w:sz w:val="22"/>
        </w:rPr>
        <w:t>Achievements and Problems in Vietnam: China Relations from 1991 to the Present.</w:t>
      </w:r>
      <w:bookmarkEnd w:id="17"/>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Nguyen Xuan </w:t>
      </w:r>
      <w:proofErr w:type="spellStart"/>
      <w:r w:rsidRPr="00C70DBF">
        <w:rPr>
          <w:rFonts w:ascii="Arial" w:eastAsia="Times New Roman" w:hAnsi="Arial" w:cs="Arial"/>
          <w:color w:val="000000"/>
          <w:szCs w:val="24"/>
        </w:rPr>
        <w:t>Cuong</w:t>
      </w:r>
      <w:proofErr w:type="spellEnd"/>
      <w:r w:rsidRPr="00C70DBF">
        <w:rPr>
          <w:rFonts w:ascii="Arial" w:eastAsia="Times New Roman" w:hAnsi="Arial" w:cs="Arial"/>
          <w:color w:val="000000"/>
          <w:szCs w:val="24"/>
        </w:rPr>
        <w:t xml:space="preserve"> and Nguyen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Phuong </w:t>
      </w:r>
      <w:proofErr w:type="spellStart"/>
      <w:r w:rsidRPr="00C70DBF">
        <w:rPr>
          <w:rFonts w:ascii="Arial" w:eastAsia="Times New Roman" w:hAnsi="Arial" w:cs="Arial"/>
          <w:color w:val="000000"/>
          <w:szCs w:val="24"/>
        </w:rPr>
        <w:t>Hoa</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China Report, 2018, volume 54, number 3, pp. 306-324.</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Since Vietnam and China </w:t>
      </w:r>
      <w:proofErr w:type="spellStart"/>
      <w:r w:rsidRPr="00C70DBF">
        <w:rPr>
          <w:rFonts w:ascii="Arial" w:eastAsia="Times New Roman" w:hAnsi="Arial" w:cs="Arial"/>
          <w:color w:val="000000"/>
          <w:szCs w:val="24"/>
        </w:rPr>
        <w:t>normalised</w:t>
      </w:r>
      <w:proofErr w:type="spellEnd"/>
      <w:r w:rsidRPr="00C70DBF">
        <w:rPr>
          <w:rFonts w:ascii="Arial" w:eastAsia="Times New Roman" w:hAnsi="Arial" w:cs="Arial"/>
          <w:color w:val="000000"/>
          <w:szCs w:val="24"/>
        </w:rPr>
        <w:t xml:space="preserve"> their ties in 1991, high-ranking leaders of the two countries have arrived at a common awareness on various issues with a view to promoting a relationship based on friendship, equality and mutual benefit. However, in reality, a big gap still exists between awareness and practice. There is a certain ‘phase deviation’, which leads to differences in assessment and approaches to the development of bilateral relations. Two-way trade has developed in a fast but imbalanced manner. China’s direct investments in Vietnam have not been on par with its potential. Many projects have been contracted, but a number of issues in terms of quality, technology and environmental protection have surfaced. Two out of three territorial and border issues have been settled, but the one concerning the </w:t>
      </w:r>
      <w:proofErr w:type="spellStart"/>
      <w:r w:rsidRPr="00C70DBF">
        <w:rPr>
          <w:rFonts w:ascii="Arial" w:eastAsia="Times New Roman" w:hAnsi="Arial" w:cs="Arial"/>
          <w:color w:val="000000"/>
          <w:szCs w:val="24"/>
        </w:rPr>
        <w:t>Biển</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Ðông</w:t>
      </w:r>
      <w:proofErr w:type="spellEnd"/>
      <w:r w:rsidRPr="00C70DBF">
        <w:rPr>
          <w:rFonts w:ascii="Arial" w:eastAsia="Times New Roman" w:hAnsi="Arial" w:cs="Arial"/>
          <w:color w:val="000000"/>
          <w:szCs w:val="24"/>
        </w:rPr>
        <w:t xml:space="preserve"> (the East Sea, or South China Sea) has become increasingly complicated. At present, the Vietnam–China relationship has entered a new phase of development with new requirements and demands as well as new opportunities and challenges.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18" w:name="m_2889938815520070680__Toc519521644"/>
      <w:r w:rsidRPr="00C70DBF">
        <w:rPr>
          <w:rFonts w:ascii="Calibri" w:eastAsia="Times New Roman" w:hAnsi="Calibri" w:cs="Calibri"/>
          <w:b/>
          <w:bCs/>
          <w:color w:val="800000"/>
          <w:sz w:val="22"/>
        </w:rPr>
        <w:t>The painting can be fake, but not the feeling’: an overview of the Vietnamese market through the lens of fake, forgery and copy paintings.</w:t>
      </w:r>
      <w:bookmarkEnd w:id="18"/>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Ho </w:t>
      </w:r>
      <w:proofErr w:type="spellStart"/>
      <w:r w:rsidRPr="00C70DBF">
        <w:rPr>
          <w:rFonts w:ascii="Arial" w:eastAsia="Times New Roman" w:hAnsi="Arial" w:cs="Arial"/>
          <w:color w:val="000000"/>
          <w:szCs w:val="24"/>
        </w:rPr>
        <w:t>Manh</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Toan</w:t>
      </w:r>
      <w:proofErr w:type="spellEnd"/>
      <w:r w:rsidRPr="00C70DBF">
        <w:rPr>
          <w:rFonts w:ascii="Arial" w:eastAsia="Times New Roman" w:hAnsi="Arial" w:cs="Arial"/>
          <w:color w:val="000000"/>
          <w:szCs w:val="24"/>
        </w:rPr>
        <w:t xml:space="preserve">, Thu-Trang </w:t>
      </w:r>
      <w:proofErr w:type="spellStart"/>
      <w:r w:rsidRPr="00C70DBF">
        <w:rPr>
          <w:rFonts w:ascii="Arial" w:eastAsia="Times New Roman" w:hAnsi="Arial" w:cs="Arial"/>
          <w:color w:val="000000"/>
          <w:szCs w:val="24"/>
        </w:rPr>
        <w:t>Vuong</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Manh</w:t>
      </w:r>
      <w:proofErr w:type="spellEnd"/>
      <w:r w:rsidRPr="00C70DBF">
        <w:rPr>
          <w:rFonts w:ascii="Arial" w:eastAsia="Times New Roman" w:hAnsi="Arial" w:cs="Arial"/>
          <w:color w:val="000000"/>
          <w:szCs w:val="24"/>
        </w:rPr>
        <w:t xml:space="preserve">-Tung Ho, Hong-Kong T. Nguyen and </w:t>
      </w:r>
      <w:proofErr w:type="spellStart"/>
      <w:r w:rsidRPr="00C70DBF">
        <w:rPr>
          <w:rFonts w:ascii="Arial" w:eastAsia="Times New Roman" w:hAnsi="Arial" w:cs="Arial"/>
          <w:color w:val="000000"/>
          <w:szCs w:val="24"/>
        </w:rPr>
        <w:t>Quan</w:t>
      </w:r>
      <w:proofErr w:type="spellEnd"/>
      <w:r w:rsidRPr="00C70DBF">
        <w:rPr>
          <w:rFonts w:ascii="Arial" w:eastAsia="Times New Roman" w:hAnsi="Arial" w:cs="Arial"/>
          <w:color w:val="000000"/>
          <w:szCs w:val="24"/>
        </w:rPr>
        <w:t xml:space="preserve">-Hoang </w:t>
      </w:r>
      <w:proofErr w:type="spellStart"/>
      <w:r w:rsidRPr="00C70DBF">
        <w:rPr>
          <w:rFonts w:ascii="Arial" w:eastAsia="Times New Roman" w:hAnsi="Arial" w:cs="Arial"/>
          <w:color w:val="000000"/>
          <w:szCs w:val="24"/>
        </w:rPr>
        <w:t>Vuong</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CEB Working Paper N° 18/022,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A work of Vietnamese art crossed a million-dollar mark in the international art market in early 2017. The event was reluctantly seen as a sign of maturity from the Vietnamese art amidst the many existing problems. Even though the Vietnamese media has discussed the issues</w:t>
      </w:r>
      <w:proofErr w:type="gramStart"/>
      <w:r w:rsidRPr="00C70DBF">
        <w:rPr>
          <w:rFonts w:ascii="Arial" w:eastAsia="Times New Roman" w:hAnsi="Arial" w:cs="Arial"/>
          <w:color w:val="000000"/>
          <w:szCs w:val="24"/>
        </w:rPr>
        <w:t>  enthusiastically</w:t>
      </w:r>
      <w:proofErr w:type="gramEnd"/>
      <w:r w:rsidRPr="00C70DBF">
        <w:rPr>
          <w:rFonts w:ascii="Arial" w:eastAsia="Times New Roman" w:hAnsi="Arial" w:cs="Arial"/>
          <w:color w:val="000000"/>
          <w:szCs w:val="24"/>
        </w:rPr>
        <w:t xml:space="preserve">, there is a lack of literature from the Vietnamese academics examining the subject, and even rarer in from the market perspective. This paper aims to contribute an insightful perspective on the Vietnamese art market, and hesitantly the Vietnamese art as well, through the lens of fake, forgery </w:t>
      </w:r>
      <w:r w:rsidRPr="00C70DBF">
        <w:rPr>
          <w:rFonts w:ascii="Arial" w:eastAsia="Times New Roman" w:hAnsi="Arial" w:cs="Arial"/>
          <w:color w:val="000000"/>
          <w:szCs w:val="24"/>
        </w:rPr>
        <w:lastRenderedPageBreak/>
        <w:t>and copy artworks. 35 cases of fake, forgery and copy paintings were found on the news and from the experts' wisdom. Through the examples, we argue that the Vietnamese art market is a temporary reaction to the immaturely rising of the Vietnamese art and the economy. Therefore, the art market is unable to function healthily unless the Vietnamese art and the economy developed.</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13"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19" w:name="m_2889938815520070680__Toc519521645"/>
      <w:r w:rsidRPr="00C70DBF">
        <w:rPr>
          <w:rFonts w:ascii="Calibri" w:eastAsia="Times New Roman" w:hAnsi="Calibri" w:cs="Calibri"/>
          <w:b/>
          <w:bCs/>
          <w:color w:val="800000"/>
          <w:sz w:val="22"/>
        </w:rPr>
        <w:t>Vietnam's Low National Competitiveness: Causes, Implications and Suggestions for Improvement.</w:t>
      </w:r>
      <w:bookmarkEnd w:id="19"/>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Le Quoc Phuong.</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KIEP Research Paper.</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Working paper 18-01,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14" w:tgtFrame="_blank" w:history="1">
        <w:r w:rsidRPr="00C70DBF">
          <w:rPr>
            <w:rFonts w:ascii="Arial" w:eastAsia="Times New Roman" w:hAnsi="Arial" w:cs="Arial"/>
            <w:color w:val="1155CC"/>
            <w:szCs w:val="24"/>
            <w:u w:val="single"/>
          </w:rPr>
          <w:t>https://ssrn.com/abstract=3181785</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The World Economic Forum's (WEF) annual assessment using the Global Competitiveness Index (GCI) since 2006 shows that Vietnam’s national competitiveness has been relatively low. Globally, Vietnam has been in the middle of economies surveyed. Regionally, Vietnam has been in the middle of ASEAN countries. Regarding level of development, before 2015 Vietnam was in stage 1 (factor-driven), which includes ASEAN's less developed countries (Cambodia, Laos and Myanmar). Since 2015 Vietnam has shifted to a transition toward stage 2 (efficiency-driven), which includes Brunei and the Philippines. The country has lagged behind Indonesia and Thailand (in stage 2), Malaysia (in transition to stage 3) and Singapore (in stage 3, innovation-driven). --- To complement the WEF’s assessment, this study provides some in-depth analyses of main causes of Vietnam's low competitiveness. These are structural problems due to its factor-based growth model, expansionary policies to aid growth, slowly improved business environment, low R&amp;D expenditure, low-quality higher education and under-developed infrastructure. The research also examines implications of these shortcomings for Vietnam. These are low productivity, diminishing GDP growth, middle income trap, macroeconomic instability, low business competitiveness, low technology level, low human capital quality and environmental degradation. Based on the analyses, policy measures are proposed to improve Vietnam’s competitiveness. Major suggestions include structural reforms to change the growth model from factor-based to productivity-based, raising technology level, enhancing human capital quality, improving business environment, ensuring macroeconomic stability, upgrading infrastructure and learning from advanced economies such as Korea.</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20" w:name="m_2889938815520070680__Toc519521646"/>
      <w:proofErr w:type="gramStart"/>
      <w:r w:rsidRPr="00C70DBF">
        <w:rPr>
          <w:rFonts w:ascii="Calibri" w:eastAsia="Times New Roman" w:hAnsi="Calibri" w:cs="Calibri"/>
          <w:b/>
          <w:bCs/>
          <w:color w:val="800000"/>
          <w:sz w:val="22"/>
        </w:rPr>
        <w:t>Vietnam :</w:t>
      </w:r>
      <w:proofErr w:type="gramEnd"/>
      <w:r w:rsidRPr="00C70DBF">
        <w:rPr>
          <w:rFonts w:ascii="Calibri" w:eastAsia="Times New Roman" w:hAnsi="Calibri" w:cs="Calibri"/>
          <w:b/>
          <w:bCs/>
          <w:color w:val="800000"/>
          <w:sz w:val="22"/>
        </w:rPr>
        <w:t xml:space="preserve"> 2018 Article IV Consultation-Press Release and Staff Report.</w:t>
      </w:r>
      <w:bookmarkEnd w:id="20"/>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International Monetary Fund.</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Asia and Pacific Dept. IMF,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Free full text </w:t>
      </w:r>
      <w:hyperlink r:id="rId15" w:tgtFrame="_blank" w:history="1">
        <w:r w:rsidRPr="00C70DBF">
          <w:rPr>
            <w:rFonts w:ascii="Arial" w:eastAsia="Times New Roman" w:hAnsi="Arial" w:cs="Arial"/>
            <w:color w:val="1155CC"/>
            <w:szCs w:val="24"/>
            <w:u w:val="single"/>
          </w:rPr>
          <w:t>http://www.imf.org/en/Publications/CR/Issues/2018/07/10/Vietnam-2018-Article-IV-Consultation-Press-Release-and-Staff-Report-46064?cid=em-COM-123-37404</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KEY ISSUES: Strong performance and positive outlook. 2017 was a bumper year of broad-based and non-inflationary growth. Reforms continued, including in the banking sector, privatizations and cuts in red tape. The momentum is expected to continue, aided by reforms, higher potential output, and the global recovery. However, economic distortions and capacity constraints remain, as do external and domestic risks and longer-term challenges. The strong economy provides an opportunity for additional reforms to boost investment, ensure durable growth and resilient balance sheets, and reduce the external surplus. --- Fiscal policy. Much-needed fiscal consolidation began in 2016–17. The public finances remain sustainable over the medium term, aided by privatization. But aging and other fiscal risks require more ambitious deficit reduction and a lower debt threshold than the statutory ceiling. Priority should be given to broadening tax bases and cutting current spending to make more room for public investment to meet large development needs. --- Monetary policy. Real money demand is rising due to ongoing de-dollarization and financial deepening. But monetary conditions remain accommodative and credit growth should be lowered more quickly to sustain macroeconomic stability. Greater two-way exchange rate flexibility within the current band should be allowed to help absorb external shocks including from volatile capital flows, facilitate real appreciation and lower the external surplus. Reserve accumulation should be more gradual, with fully sterilized interventions. Conditions are right for a phased shift to inflation targeting. --- Financial sector. Performance improved in 2017. But bank balance sheets, supervision, and risk management need to be further strengthened to improve the efficiency of financial intermediation. The government should recapitalize state-owned commercial banks (SOCBs) swiftly and relax private-sector investment and foreign-ownership limits. Strong credit and asset price growth may be building up new risks in the financial system. It is critical to improve data quality and develop a </w:t>
      </w:r>
      <w:proofErr w:type="spellStart"/>
      <w:r w:rsidRPr="00C70DBF">
        <w:rPr>
          <w:rFonts w:ascii="Arial" w:eastAsia="Times New Roman" w:hAnsi="Arial" w:cs="Arial"/>
          <w:color w:val="000000"/>
          <w:szCs w:val="24"/>
        </w:rPr>
        <w:t>macroprudential</w:t>
      </w:r>
      <w:proofErr w:type="spellEnd"/>
      <w:r w:rsidRPr="00C70DBF">
        <w:rPr>
          <w:rFonts w:ascii="Arial" w:eastAsia="Times New Roman" w:hAnsi="Arial" w:cs="Arial"/>
          <w:color w:val="000000"/>
          <w:szCs w:val="24"/>
        </w:rPr>
        <w:t xml:space="preserve"> framework to proactively manage risks. --- Structural reform drive. Ongoing reforms to reduce the economic footprint of the state, level the playing field and promote private-sector-led growth are on the right track and should be accelerated if Vietnam is to meet the challenges of digitalization, climate change and aging. Priorities include: high-quality infrastructure and tertiary education; less land ownership in state hands; continued reform and </w:t>
      </w:r>
      <w:proofErr w:type="spellStart"/>
      <w:r w:rsidRPr="00C70DBF">
        <w:rPr>
          <w:rFonts w:ascii="Arial" w:eastAsia="Times New Roman" w:hAnsi="Arial" w:cs="Arial"/>
          <w:color w:val="000000"/>
          <w:szCs w:val="24"/>
        </w:rPr>
        <w:t>equitization</w:t>
      </w:r>
      <w:proofErr w:type="spellEnd"/>
      <w:r w:rsidRPr="00C70DBF">
        <w:rPr>
          <w:rFonts w:ascii="Arial" w:eastAsia="Times New Roman" w:hAnsi="Arial" w:cs="Arial"/>
          <w:color w:val="000000"/>
          <w:szCs w:val="24"/>
        </w:rPr>
        <w:t xml:space="preserve"> of state-owned enterprises; further reductions in regulatory barriers and transitioning to international standards for data quality and regulatory excellence.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21" w:name="m_2889938815520070680__Toc519521647"/>
      <w:proofErr w:type="gramStart"/>
      <w:r w:rsidRPr="00C70DBF">
        <w:rPr>
          <w:rFonts w:ascii="Calibri" w:eastAsia="Times New Roman" w:hAnsi="Calibri" w:cs="Calibri"/>
          <w:b/>
          <w:bCs/>
          <w:color w:val="800000"/>
          <w:sz w:val="22"/>
        </w:rPr>
        <w:t>Vietnam :</w:t>
      </w:r>
      <w:proofErr w:type="gramEnd"/>
      <w:r w:rsidRPr="00C70DBF">
        <w:rPr>
          <w:rFonts w:ascii="Calibri" w:eastAsia="Times New Roman" w:hAnsi="Calibri" w:cs="Calibri"/>
          <w:b/>
          <w:bCs/>
          <w:color w:val="800000"/>
          <w:sz w:val="22"/>
        </w:rPr>
        <w:t xml:space="preserve"> Selected Issues.</w:t>
      </w:r>
      <w:bookmarkEnd w:id="21"/>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International Monetary Fund.</w:t>
      </w:r>
      <w:proofErr w:type="gramEnd"/>
      <w:r w:rsidRPr="00C70DBF">
        <w:rPr>
          <w:rFonts w:ascii="Arial" w:eastAsia="Times New Roman" w:hAnsi="Arial" w:cs="Arial"/>
          <w:color w:val="000000"/>
          <w:szCs w:val="24"/>
        </w:rPr>
        <w:t xml:space="preserve"> Asia and Pacific Dept. IMF Country Report No. 18/216, 2018.</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Free full text </w:t>
      </w:r>
      <w:hyperlink r:id="rId16" w:tgtFrame="_blank" w:history="1">
        <w:r w:rsidRPr="00C70DBF">
          <w:rPr>
            <w:rFonts w:ascii="Arial" w:eastAsia="Times New Roman" w:hAnsi="Arial" w:cs="Arial"/>
            <w:color w:val="1155CC"/>
            <w:szCs w:val="24"/>
            <w:u w:val="single"/>
          </w:rPr>
          <w:t>http://www.imf.org/en/Publications/CR/Issues/2018/07/10/Vietnam-Selected-Issues-46065?cid=em-COM-123-37405</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Vietnam has undergone a major transition in the last decade. This paper seeks to assess how this transformation has affected its growth potential. Employing a range of methodologies, the analysis concludes that Vietnam’s medium-term growth potential has increased from 6.2 percent estimated in 2014 to 6.5 percent. Acceleration of reforms that have generated productivity gains in the last decade, including the implementation of agreed free trade agreements, could further boost growth potential.</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17"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22" w:name="m_2889938815520070680__Toc519521648"/>
      <w:r w:rsidRPr="00C70DBF">
        <w:rPr>
          <w:rFonts w:ascii="Calibri" w:eastAsia="Times New Roman" w:hAnsi="Calibri" w:cs="Calibri"/>
          <w:b/>
          <w:bCs/>
          <w:color w:val="800000"/>
          <w:sz w:val="22"/>
        </w:rPr>
        <w:t>The Impact of Institutional Distance on the Choice of Multinational Enterprise's Entry Mode: Theory and Empirical Evidence from Vietnam.</w:t>
      </w:r>
      <w:bookmarkEnd w:id="22"/>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Vo</w:t>
      </w:r>
      <w:proofErr w:type="gramEnd"/>
      <w:r w:rsidRPr="00C70DBF">
        <w:rPr>
          <w:rFonts w:ascii="Arial" w:eastAsia="Times New Roman" w:hAnsi="Arial" w:cs="Arial"/>
          <w:color w:val="000000"/>
          <w:szCs w:val="24"/>
        </w:rPr>
        <w:t xml:space="preserve"> Van </w:t>
      </w:r>
      <w:proofErr w:type="spellStart"/>
      <w:r w:rsidRPr="00C70DBF">
        <w:rPr>
          <w:rFonts w:ascii="Arial" w:eastAsia="Times New Roman" w:hAnsi="Arial" w:cs="Arial"/>
          <w:color w:val="000000"/>
          <w:szCs w:val="24"/>
        </w:rPr>
        <w:t>Dut</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Yusaf</w:t>
      </w:r>
      <w:proofErr w:type="spellEnd"/>
      <w:r w:rsidRPr="00C70DBF">
        <w:rPr>
          <w:rFonts w:ascii="Arial" w:eastAsia="Times New Roman" w:hAnsi="Arial" w:cs="Arial"/>
          <w:color w:val="000000"/>
          <w:szCs w:val="24"/>
        </w:rPr>
        <w:t xml:space="preserve"> H. Akbar, Nguyen </w:t>
      </w:r>
      <w:proofErr w:type="spellStart"/>
      <w:r w:rsidRPr="00C70DBF">
        <w:rPr>
          <w:rFonts w:ascii="Arial" w:eastAsia="Times New Roman" w:hAnsi="Arial" w:cs="Arial"/>
          <w:color w:val="000000"/>
          <w:szCs w:val="24"/>
        </w:rPr>
        <w:t>Huu</w:t>
      </w:r>
      <w:proofErr w:type="spellEnd"/>
      <w:r w:rsidRPr="00C70DBF">
        <w:rPr>
          <w:rFonts w:ascii="Arial" w:eastAsia="Times New Roman" w:hAnsi="Arial" w:cs="Arial"/>
          <w:color w:val="000000"/>
          <w:szCs w:val="24"/>
        </w:rPr>
        <w:t xml:space="preserve"> Dang and Nguyen Kim Hanh. Asian Journal of Business &amp; Accounting, 2018, volume 11, number 1.</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Research aims: This study aims to investigate the impact of institutional distance between home and host countries on the choice of multinational enterprise's (MNE) entry mode into Vietnam. Design/ Methodology/ Approach: Transaction cost theory was adopted to develop the hypotheses. The data of 82 MNE subsidiaries located in Vietnam were extracted from the World Bank Enterprise Survey. </w:t>
      </w:r>
      <w:proofErr w:type="spellStart"/>
      <w:r w:rsidRPr="00C70DBF">
        <w:rPr>
          <w:rFonts w:ascii="Arial" w:eastAsia="Times New Roman" w:hAnsi="Arial" w:cs="Arial"/>
          <w:color w:val="000000"/>
          <w:szCs w:val="24"/>
        </w:rPr>
        <w:t>Probit</w:t>
      </w:r>
      <w:proofErr w:type="spellEnd"/>
      <w:r w:rsidRPr="00C70DBF">
        <w:rPr>
          <w:rFonts w:ascii="Arial" w:eastAsia="Times New Roman" w:hAnsi="Arial" w:cs="Arial"/>
          <w:color w:val="000000"/>
          <w:szCs w:val="24"/>
        </w:rPr>
        <w:t xml:space="preserve"> regression was employed to estimate the impact of the institutional distance between home and host countries on the choice of the MNE's entry mode. Research findings: The empirical results support the hypotheses, revealing that MNEs are more likely to enter Vietnam via acquisition investment rather than </w:t>
      </w:r>
      <w:proofErr w:type="gramStart"/>
      <w:r w:rsidRPr="00C70DBF">
        <w:rPr>
          <w:rFonts w:ascii="Arial" w:eastAsia="Times New Roman" w:hAnsi="Arial" w:cs="Arial"/>
          <w:color w:val="000000"/>
          <w:szCs w:val="24"/>
        </w:rPr>
        <w:t>greenfield</w:t>
      </w:r>
      <w:proofErr w:type="gramEnd"/>
      <w:r w:rsidRPr="00C70DBF">
        <w:rPr>
          <w:rFonts w:ascii="Arial" w:eastAsia="Times New Roman" w:hAnsi="Arial" w:cs="Arial"/>
          <w:color w:val="000000"/>
          <w:szCs w:val="24"/>
        </w:rPr>
        <w:t xml:space="preserve"> investment. This happens when both the formal and informal institutional distance between Vietnam and the home countries is large. Findings also suggest that the institutional distance between a host country with a transition economy and the home countries is an important element to take into account when MNEs decide to invest in a transition economy that contains high level uncertainties. Theoretical contributions/ Originality: The adoption of the transaction cost theory enables this study to </w:t>
      </w:r>
      <w:proofErr w:type="spellStart"/>
      <w:r w:rsidRPr="00C70DBF">
        <w:rPr>
          <w:rFonts w:ascii="Arial" w:eastAsia="Times New Roman" w:hAnsi="Arial" w:cs="Arial"/>
          <w:color w:val="000000"/>
          <w:szCs w:val="24"/>
        </w:rPr>
        <w:t>conceptualise</w:t>
      </w:r>
      <w:proofErr w:type="spellEnd"/>
      <w:r w:rsidRPr="00C70DBF">
        <w:rPr>
          <w:rFonts w:ascii="Arial" w:eastAsia="Times New Roman" w:hAnsi="Arial" w:cs="Arial"/>
          <w:color w:val="000000"/>
          <w:szCs w:val="24"/>
        </w:rPr>
        <w:t xml:space="preserve"> the framework which is used to empirically test the effect of the institutional distance between Vietnam and home countries on the MNEs' entry mode decision. This study shows that the transaction cost approach offers insights into how the institutional distance between the host and home countries affect the choice of the MNEs' entry mode into a transition economy. This study contributes to international business literature by developing theoretical arguments about the role of the national institutional </w:t>
      </w:r>
      <w:r w:rsidRPr="00C70DBF">
        <w:rPr>
          <w:rFonts w:ascii="Arial" w:eastAsia="Times New Roman" w:hAnsi="Arial" w:cs="Arial"/>
          <w:color w:val="000000"/>
          <w:szCs w:val="24"/>
        </w:rPr>
        <w:lastRenderedPageBreak/>
        <w:t xml:space="preserve">dissimilarities on the choice of the MNEs' entry mode in a transition economy. Practitioner/ Policy implications: The implication drawn from this study is that MNEs investing through acquired subsidiaries are less burdened by environmental uncertainties since acquired subsidiaries offer more </w:t>
      </w:r>
      <w:proofErr w:type="spellStart"/>
      <w:r w:rsidRPr="00C70DBF">
        <w:rPr>
          <w:rFonts w:ascii="Arial" w:eastAsia="Times New Roman" w:hAnsi="Arial" w:cs="Arial"/>
          <w:color w:val="000000"/>
          <w:szCs w:val="24"/>
        </w:rPr>
        <w:t>familarity</w:t>
      </w:r>
      <w:proofErr w:type="spellEnd"/>
      <w:r w:rsidRPr="00C70DBF">
        <w:rPr>
          <w:rFonts w:ascii="Arial" w:eastAsia="Times New Roman" w:hAnsi="Arial" w:cs="Arial"/>
          <w:color w:val="000000"/>
          <w:szCs w:val="24"/>
        </w:rPr>
        <w:t xml:space="preserve"> with the formal institutions. This can help the MNEs to establish a close relationship with the local partners and the government. This also increases the MNEs' cross-cultural communication and knowledge thereby, enhancing the investment. Research limitation: Further research should consider more parent firm characteristics so that implications for the MNEs' entry strategy are developed. Given the role of the different managers at the different levels, future study should capture the perception of these managers who are based at the headquarters so as to further examine the effect of institutional distance.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23" w:name="m_2889938815520070680__Toc519521649"/>
      <w:proofErr w:type="gramStart"/>
      <w:r w:rsidRPr="00C70DBF">
        <w:rPr>
          <w:rFonts w:ascii="Calibri" w:eastAsia="Times New Roman" w:hAnsi="Calibri" w:cs="Calibri"/>
          <w:b/>
          <w:bCs/>
          <w:color w:val="800000"/>
          <w:sz w:val="22"/>
        </w:rPr>
        <w:t>Operating the impossible trinity before and after the global financial crisis 2007-2008: evidence in Vietnam.</w:t>
      </w:r>
      <w:bookmarkEnd w:id="23"/>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Thuy Tien Ho and Thu </w:t>
      </w:r>
      <w:proofErr w:type="spellStart"/>
      <w:r w:rsidRPr="00C70DBF">
        <w:rPr>
          <w:rFonts w:ascii="Arial" w:eastAsia="Times New Roman" w:hAnsi="Arial" w:cs="Arial"/>
          <w:color w:val="000000"/>
          <w:szCs w:val="24"/>
        </w:rPr>
        <w:t>Hoai</w:t>
      </w:r>
      <w:proofErr w:type="spellEnd"/>
      <w:r w:rsidRPr="00C70DBF">
        <w:rPr>
          <w:rFonts w:ascii="Arial" w:eastAsia="Times New Roman" w:hAnsi="Arial" w:cs="Arial"/>
          <w:color w:val="000000"/>
          <w:szCs w:val="24"/>
        </w:rPr>
        <w:t xml:space="preserve"> Ho. International Journal of Trade and Global Markets, 2018, volume 11, number 1-2, pp. 40-49.</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paper focuses on </w:t>
      </w:r>
      <w:proofErr w:type="spellStart"/>
      <w:r w:rsidRPr="00C70DBF">
        <w:rPr>
          <w:rFonts w:ascii="Arial" w:eastAsia="Times New Roman" w:hAnsi="Arial" w:cs="Arial"/>
          <w:color w:val="000000"/>
          <w:szCs w:val="24"/>
        </w:rPr>
        <w:t>analysing</w:t>
      </w:r>
      <w:proofErr w:type="spellEnd"/>
      <w:r w:rsidRPr="00C70DBF">
        <w:rPr>
          <w:rFonts w:ascii="Arial" w:eastAsia="Times New Roman" w:hAnsi="Arial" w:cs="Arial"/>
          <w:color w:val="000000"/>
          <w:szCs w:val="24"/>
        </w:rPr>
        <w:t xml:space="preserve"> the changes in the impossible trinity administration in Vietnam before and after the global financial crisis 2007-2008. Using the indices representing the impossible trinity, including MI, ERS, and FO, as well as the regression models based on the ARDL method, the authors found that during the study period, the Vietnamese government had selected the exchange rate stability on the list of priorities. The combination with another goal in the impossible trinity, however, changed over two phases. In the period before the crisis, the financial integration was more focused while in the period after the financial crisis, the goal of monetary independence received greater attention. We also discovered that the Vietnamese government was likely to regulate the impossible trinity policies under the intermediary regime that showed the indicators of the impossible trinity with the value approaching 0.5.</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18"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24" w:name="m_2889938815520070680__Toc519521650"/>
      <w:r w:rsidRPr="00C70DBF">
        <w:rPr>
          <w:rFonts w:ascii="Calibri" w:eastAsia="Times New Roman" w:hAnsi="Calibri" w:cs="Calibri"/>
          <w:b/>
          <w:bCs/>
          <w:color w:val="800000"/>
          <w:sz w:val="22"/>
        </w:rPr>
        <w:t>Recent trade dynamics in Asia: Examples from specific industries.</w:t>
      </w:r>
      <w:bookmarkEnd w:id="24"/>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Marc </w:t>
      </w:r>
      <w:proofErr w:type="spellStart"/>
      <w:r w:rsidRPr="00C70DBF">
        <w:rPr>
          <w:rFonts w:ascii="Arial" w:eastAsia="Times New Roman" w:hAnsi="Arial" w:cs="Arial"/>
          <w:color w:val="000000"/>
          <w:szCs w:val="24"/>
        </w:rPr>
        <w:t>Auboin</w:t>
      </w:r>
      <w:proofErr w:type="spellEnd"/>
      <w:r w:rsidRPr="00C70DBF">
        <w:rPr>
          <w:rFonts w:ascii="Arial" w:eastAsia="Times New Roman" w:hAnsi="Arial" w:cs="Arial"/>
          <w:color w:val="000000"/>
          <w:szCs w:val="24"/>
        </w:rPr>
        <w:t xml:space="preserve"> and </w:t>
      </w:r>
      <w:proofErr w:type="spellStart"/>
      <w:r w:rsidRPr="00C70DBF">
        <w:rPr>
          <w:rFonts w:ascii="Arial" w:eastAsia="Times New Roman" w:hAnsi="Arial" w:cs="Arial"/>
          <w:color w:val="000000"/>
          <w:szCs w:val="24"/>
        </w:rPr>
        <w:t>Floriana</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Borino</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No. </w:t>
      </w:r>
      <w:proofErr w:type="gramStart"/>
      <w:r w:rsidRPr="00C70DBF">
        <w:rPr>
          <w:rFonts w:ascii="Arial" w:eastAsia="Times New Roman" w:hAnsi="Arial" w:cs="Arial"/>
          <w:color w:val="000000"/>
          <w:szCs w:val="24"/>
        </w:rPr>
        <w:t>ERSD-2018-04 WTO Staff Working Paper,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19" w:tgtFrame="_blank" w:history="1">
        <w:r w:rsidRPr="00C70DBF">
          <w:rPr>
            <w:rFonts w:ascii="Arial" w:eastAsia="Times New Roman" w:hAnsi="Arial" w:cs="Arial"/>
            <w:color w:val="1155CC"/>
            <w:szCs w:val="24"/>
            <w:u w:val="single"/>
          </w:rPr>
          <w:t>https://www.econstor.eu/bitstream/10419/176769/1/1017744580.pdf</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paper looks at the extent to which the shift in the lower value added production to countries in the following development "tier" is actually becoming a reality. Several countries in East Asia have been upgrading production patterns and moving up the value chain, this paper looks at how this helps and offers new opportunities to less advanced countries to integrate in world trade. The paper uses a combination of techniques, from an analysis of disaggregated trade flows by country and sectors, to the calculation of trade intensity indices by country and sector, and value-added trade by sector. It finds combined evidence of forward and backward trade increasing between several </w:t>
      </w:r>
      <w:proofErr w:type="spellStart"/>
      <w:r w:rsidRPr="00C70DBF">
        <w:rPr>
          <w:rFonts w:ascii="Arial" w:eastAsia="Times New Roman" w:hAnsi="Arial" w:cs="Arial"/>
          <w:color w:val="000000"/>
          <w:szCs w:val="24"/>
        </w:rPr>
        <w:t>neighbouring</w:t>
      </w:r>
      <w:proofErr w:type="spellEnd"/>
      <w:r w:rsidRPr="00C70DBF">
        <w:rPr>
          <w:rFonts w:ascii="Arial" w:eastAsia="Times New Roman" w:hAnsi="Arial" w:cs="Arial"/>
          <w:color w:val="000000"/>
          <w:szCs w:val="24"/>
        </w:rPr>
        <w:t xml:space="preserve"> Asian economies and China, in the most </w:t>
      </w:r>
      <w:proofErr w:type="spellStart"/>
      <w:r w:rsidRPr="00C70DBF">
        <w:rPr>
          <w:rFonts w:ascii="Arial" w:eastAsia="Times New Roman" w:hAnsi="Arial" w:cs="Arial"/>
          <w:color w:val="000000"/>
          <w:szCs w:val="24"/>
        </w:rPr>
        <w:t>labour-intensive</w:t>
      </w:r>
      <w:proofErr w:type="spellEnd"/>
      <w:r w:rsidRPr="00C70DBF">
        <w:rPr>
          <w:rFonts w:ascii="Arial" w:eastAsia="Times New Roman" w:hAnsi="Arial" w:cs="Arial"/>
          <w:color w:val="000000"/>
          <w:szCs w:val="24"/>
        </w:rPr>
        <w:t xml:space="preserve"> industries in particular. Econometric analysis shows that relative unit </w:t>
      </w:r>
      <w:proofErr w:type="spellStart"/>
      <w:r w:rsidRPr="00C70DBF">
        <w:rPr>
          <w:rFonts w:ascii="Arial" w:eastAsia="Times New Roman" w:hAnsi="Arial" w:cs="Arial"/>
          <w:color w:val="000000"/>
          <w:szCs w:val="24"/>
        </w:rPr>
        <w:t>labour</w:t>
      </w:r>
      <w:proofErr w:type="spellEnd"/>
      <w:r w:rsidRPr="00C70DBF">
        <w:rPr>
          <w:rFonts w:ascii="Arial" w:eastAsia="Times New Roman" w:hAnsi="Arial" w:cs="Arial"/>
          <w:color w:val="000000"/>
          <w:szCs w:val="24"/>
        </w:rPr>
        <w:t xml:space="preserve"> costs are an explanatory factor of increased trade links. In cases, the intensification of trade links on the export side can relate to a strongly expanding local market (for example India for electronic products such as smartphones), but mostly the intensification of trade links takes place both on the import and export sides with markets which are much smaller than China (Vietnam, Bangladesh, etc.), and which experienced increased outward-processing activities as a result of China's production upgrade.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25" w:name="m_2889938815520070680__Toc519521651"/>
      <w:r w:rsidRPr="00C70DBF">
        <w:rPr>
          <w:rFonts w:ascii="Arial" w:eastAsia="Times New Roman" w:hAnsi="Arial" w:cs="Arial"/>
          <w:b/>
          <w:bCs/>
          <w:color w:val="FFFFFF"/>
          <w:kern w:val="36"/>
          <w:sz w:val="48"/>
          <w:szCs w:val="48"/>
        </w:rPr>
        <w:t>EDUCATION</w:t>
      </w:r>
      <w:bookmarkEnd w:id="25"/>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26" w:name="m_2889938815520070680__Toc519521652"/>
      <w:r w:rsidRPr="00C70DBF">
        <w:rPr>
          <w:rFonts w:ascii="Calibri" w:eastAsia="Times New Roman" w:hAnsi="Calibri" w:cs="Calibri"/>
          <w:b/>
          <w:bCs/>
          <w:color w:val="800000"/>
          <w:sz w:val="22"/>
        </w:rPr>
        <w:t xml:space="preserve">Digital Access, Use and Skills </w:t>
      </w:r>
      <w:proofErr w:type="gramStart"/>
      <w:r w:rsidRPr="00C70DBF">
        <w:rPr>
          <w:rFonts w:ascii="Calibri" w:eastAsia="Times New Roman" w:hAnsi="Calibri" w:cs="Calibri"/>
          <w:b/>
          <w:bCs/>
          <w:color w:val="800000"/>
          <w:sz w:val="22"/>
        </w:rPr>
        <w:t>Across</w:t>
      </w:r>
      <w:proofErr w:type="gramEnd"/>
      <w:r w:rsidRPr="00C70DBF">
        <w:rPr>
          <w:rFonts w:ascii="Calibri" w:eastAsia="Times New Roman" w:hAnsi="Calibri" w:cs="Calibri"/>
          <w:b/>
          <w:bCs/>
          <w:color w:val="800000"/>
          <w:sz w:val="22"/>
        </w:rPr>
        <w:t xml:space="preserve"> Four Countries: Construction of Scales and Preliminary Results from the Young Lives Round 5 Survey.</w:t>
      </w:r>
      <w:bookmarkEnd w:id="26"/>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Santiago </w:t>
      </w:r>
      <w:proofErr w:type="spellStart"/>
      <w:r w:rsidRPr="00C70DBF">
        <w:rPr>
          <w:rFonts w:ascii="Arial" w:eastAsia="Times New Roman" w:hAnsi="Arial" w:cs="Arial"/>
          <w:color w:val="000000"/>
          <w:szCs w:val="24"/>
        </w:rPr>
        <w:t>Cueto</w:t>
      </w:r>
      <w:proofErr w:type="spellEnd"/>
      <w:r w:rsidRPr="00C70DBF">
        <w:rPr>
          <w:rFonts w:ascii="Arial" w:eastAsia="Times New Roman" w:hAnsi="Arial" w:cs="Arial"/>
          <w:color w:val="000000"/>
          <w:szCs w:val="24"/>
        </w:rPr>
        <w:t>, Juan Leon and Claudia Felipe.</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Young Lives Technical Note 46,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20" w:tgtFrame="_blank" w:history="1">
        <w:r w:rsidRPr="00C70DBF">
          <w:rPr>
            <w:rFonts w:ascii="Arial" w:eastAsia="Times New Roman" w:hAnsi="Arial" w:cs="Arial"/>
            <w:color w:val="1155CC"/>
            <w:szCs w:val="24"/>
            <w:u w:val="single"/>
          </w:rPr>
          <w:t>https://younglives.org.uk/content/digital-access-use-and-skills-across-four-countries-construction-scales-and-preliminary</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technical note outlines the procedures used to develop a digital module, administered to both Young Lives cohorts in the four study countries during the Round 5 household survey in 2016. The modules were based on existing scales in this field. We carried out pilot tests of instruments and performed psychometric analysis to present evidence of the reliability and validity of the instruments. The items measure access, digital skills and use of digital devices, including computers, tablets, the internet and mobile phones. This note provides measures of computer (offline) and internet skills, estimated through factor analysis. --- Descriptive results show a clear digital divide across countries, with respondents in Peru and Vietnam showing higher levels of access, more frequent use, and earlier age of engagement with digital devices than respondents in Ethiopia and India. However, in a multivariate analysis we found that within countries there are differences in access associated with socio-economic status; </w:t>
      </w:r>
      <w:r w:rsidRPr="00C70DBF">
        <w:rPr>
          <w:rFonts w:ascii="Arial" w:eastAsia="Times New Roman" w:hAnsi="Arial" w:cs="Arial"/>
          <w:color w:val="000000"/>
          <w:szCs w:val="24"/>
        </w:rPr>
        <w:lastRenderedPageBreak/>
        <w:t>for example, the wealth index (collected in Round 1 of Young Lives in 2001) predicts access to computers 15 years later, as do maternal education and ethnicity. In some cases, gender (</w:t>
      </w:r>
      <w:proofErr w:type="spellStart"/>
      <w:r w:rsidRPr="00C70DBF">
        <w:rPr>
          <w:rFonts w:ascii="Arial" w:eastAsia="Times New Roman" w:hAnsi="Arial" w:cs="Arial"/>
          <w:color w:val="000000"/>
          <w:szCs w:val="24"/>
        </w:rPr>
        <w:t>favouring</w:t>
      </w:r>
      <w:proofErr w:type="spellEnd"/>
      <w:r w:rsidRPr="00C70DBF">
        <w:rPr>
          <w:rFonts w:ascii="Arial" w:eastAsia="Times New Roman" w:hAnsi="Arial" w:cs="Arial"/>
          <w:color w:val="000000"/>
          <w:szCs w:val="24"/>
        </w:rPr>
        <w:t xml:space="preserve"> males, particularly in India) is also predictive of access. We also found that starting to use computers and the internet earlier, and using them daily, was associated with higher levels of digital skills in both cohorts for most countries.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27" w:name="m_2889938815520070680__Toc519521653"/>
      <w:proofErr w:type="gramStart"/>
      <w:r w:rsidRPr="00C70DBF">
        <w:rPr>
          <w:rFonts w:ascii="Calibri" w:eastAsia="Times New Roman" w:hAnsi="Calibri" w:cs="Calibri"/>
          <w:b/>
          <w:bCs/>
          <w:color w:val="800000"/>
          <w:sz w:val="22"/>
        </w:rPr>
        <w:t>The Long-Run and Gender-Equalizing Impacts of School Access: Evidence from the First Indochina War.</w:t>
      </w:r>
      <w:bookmarkEnd w:id="27"/>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Hai-Anh H. Dang, </w:t>
      </w:r>
      <w:proofErr w:type="spellStart"/>
      <w:r w:rsidRPr="00C70DBF">
        <w:rPr>
          <w:rFonts w:ascii="Arial" w:eastAsia="Times New Roman" w:hAnsi="Arial" w:cs="Arial"/>
          <w:color w:val="000000"/>
          <w:szCs w:val="24"/>
        </w:rPr>
        <w:t>Trung</w:t>
      </w:r>
      <w:proofErr w:type="spellEnd"/>
      <w:r w:rsidRPr="00C70DBF">
        <w:rPr>
          <w:rFonts w:ascii="Arial" w:eastAsia="Times New Roman" w:hAnsi="Arial" w:cs="Arial"/>
          <w:color w:val="000000"/>
          <w:szCs w:val="24"/>
        </w:rPr>
        <w:t xml:space="preserve"> X. Hoang and Ha Nguyen.</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World Bank Policy Research Working Paper 8480,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21" w:tgtFrame="_blank" w:history="1">
        <w:r w:rsidRPr="00C70DBF">
          <w:rPr>
            <w:rFonts w:ascii="Arial" w:eastAsia="Times New Roman" w:hAnsi="Arial" w:cs="Arial"/>
            <w:color w:val="1155CC"/>
            <w:szCs w:val="24"/>
            <w:u w:val="single"/>
          </w:rPr>
          <w:t>http://documents.worldbank.org/curated/en/442851529499024711/pdf/WPS8480.pdf</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Very few studies currently exist on the long-term impacts of schooling policies in developing countries. This paper examines the impacts—half a century later—of a mass education program conducted by the Democratic Republic of Vietnam in the occupied areas during the First Indochina War. Difference-in-difference estimation results suggest that school-age children who were exposed to the program obtained significantly higher levels of education than their peers who were residing in French-occupied areas. The impacts are statistically significant for </w:t>
      </w:r>
      <w:proofErr w:type="spellStart"/>
      <w:r w:rsidRPr="00C70DBF">
        <w:rPr>
          <w:rFonts w:ascii="Arial" w:eastAsia="Times New Roman" w:hAnsi="Arial" w:cs="Arial"/>
          <w:color w:val="000000"/>
          <w:szCs w:val="24"/>
        </w:rPr>
        <w:t>schoolage</w:t>
      </w:r>
      <w:proofErr w:type="spellEnd"/>
      <w:r w:rsidRPr="00C70DBF">
        <w:rPr>
          <w:rFonts w:ascii="Arial" w:eastAsia="Times New Roman" w:hAnsi="Arial" w:cs="Arial"/>
          <w:color w:val="000000"/>
          <w:szCs w:val="24"/>
        </w:rPr>
        <w:t xml:space="preserve"> girls and not for school-age boys. The analysis finds beneficial spillover and inter-generational impacts of education: affected girls enjoyed higher household living standards, had more educated spouses, and raised more educated children. The paper discusses various robustness checks and extensions that support these findings.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22"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28" w:name="m_2889938815520070680__Toc519521654"/>
      <w:r w:rsidRPr="00C70DBF">
        <w:rPr>
          <w:rFonts w:ascii="Calibri" w:eastAsia="Times New Roman" w:hAnsi="Calibri" w:cs="Calibri"/>
          <w:b/>
          <w:bCs/>
          <w:color w:val="800000"/>
          <w:sz w:val="22"/>
        </w:rPr>
        <w:t>Varied patterns of catch-up in child growth: Evidence from Young Lives.</w:t>
      </w:r>
      <w:bookmarkEnd w:id="28"/>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Paul </w:t>
      </w:r>
      <w:proofErr w:type="spellStart"/>
      <w:r w:rsidRPr="00C70DBF">
        <w:rPr>
          <w:rFonts w:ascii="Arial" w:eastAsia="Times New Roman" w:hAnsi="Arial" w:cs="Arial"/>
          <w:color w:val="000000"/>
          <w:szCs w:val="24"/>
        </w:rPr>
        <w:t>Anand</w:t>
      </w:r>
      <w:proofErr w:type="spellEnd"/>
      <w:r w:rsidRPr="00C70DBF">
        <w:rPr>
          <w:rFonts w:ascii="Arial" w:eastAsia="Times New Roman" w:hAnsi="Arial" w:cs="Arial"/>
          <w:color w:val="000000"/>
          <w:szCs w:val="24"/>
        </w:rPr>
        <w:t>, Jere R. Behrman, Hai-Anh H. Dang and Sam Jones.</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Social Science &amp; Medicine,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The development of human capabilities for many disadvantaged children around the world depends on growth recovery (‘catch-up growth’). Here we develop a novel framework that allows for different types of catch-up growth to be classified and estimated. We distinguish between catch-up in the mean of a group toward that of a </w:t>
      </w:r>
      <w:r w:rsidRPr="00C70DBF">
        <w:rPr>
          <w:rFonts w:ascii="Arial" w:eastAsia="Times New Roman" w:hAnsi="Arial" w:cs="Arial"/>
          <w:color w:val="000000"/>
          <w:szCs w:val="24"/>
        </w:rPr>
        <w:lastRenderedPageBreak/>
        <w:t>healthy reference population versus catch-up within the group. We show these different growth types can be tested in a unified setting using a latent growth framework. Applied to four countries, our results show catch-up growth rates are generally modest, that there is significant evidence of between-country variations, and that local environmental factors are material to variation in child growth trajectories. The paper discusses the benefits of the new framework compared with current methods, shows that the method is feasible and concludes that the results call for intervention designs that are sensitive to community and country contexts.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29" w:name="m_2889938815520070680__Toc519521655"/>
      <w:r w:rsidRPr="00C70DBF">
        <w:rPr>
          <w:rFonts w:ascii="Calibri" w:eastAsia="Times New Roman" w:hAnsi="Calibri" w:cs="Calibri"/>
          <w:b/>
          <w:bCs/>
          <w:color w:val="800000"/>
          <w:sz w:val="22"/>
        </w:rPr>
        <w:t>Well Begun, But Aiming Higher: A Review of Vietnam's Education Trends in the Past 20 Years and Emerging Challenges.</w:t>
      </w:r>
      <w:bookmarkEnd w:id="29"/>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Hai-Anh H Dang and Paul W </w:t>
      </w:r>
      <w:proofErr w:type="spellStart"/>
      <w:r w:rsidRPr="00C70DBF">
        <w:rPr>
          <w:rFonts w:ascii="Arial" w:eastAsia="Times New Roman" w:hAnsi="Arial" w:cs="Arial"/>
          <w:color w:val="000000"/>
          <w:szCs w:val="24"/>
        </w:rPr>
        <w:t>Glewwe</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J Dev Stud, 2018, volume 54, number 7, pp. 1171-1195.</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Given its modest position as a lower-middle income country, Vietnam stands out from the rest of the world with its remarkable performance on standardized test scores, school enrollment, and completed years of schooling. We provide an overview of the factors behind this exemplary performance both from an institutional viewpoint and by analyzing several different data sources, some of which have rarely been used. Some of the highlights are universal primary school enrollment, higher girls' net enrollment rates, and the role of within-commune individual factors. We further discuss a host of challenges for the country-most of which have received insufficient attention to date.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30" w:name="m_2889938815520070680__Toc519521656"/>
      <w:proofErr w:type="gramStart"/>
      <w:r w:rsidRPr="00C70DBF">
        <w:rPr>
          <w:rFonts w:ascii="Calibri" w:eastAsia="Times New Roman" w:hAnsi="Calibri" w:cs="Calibri"/>
          <w:b/>
          <w:bCs/>
          <w:color w:val="800000"/>
          <w:sz w:val="22"/>
        </w:rPr>
        <w:t>External stakeholders’ roles and factors influencing their participation in developing generic skills for students in Vietnamese universities.</w:t>
      </w:r>
      <w:bookmarkEnd w:id="30"/>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Tran Le </w:t>
      </w:r>
      <w:proofErr w:type="spellStart"/>
      <w:r w:rsidRPr="00C70DBF">
        <w:rPr>
          <w:rFonts w:ascii="Arial" w:eastAsia="Times New Roman" w:hAnsi="Arial" w:cs="Arial"/>
          <w:color w:val="000000"/>
          <w:szCs w:val="24"/>
        </w:rPr>
        <w:t>Huu</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Nghia</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Journal of Education &amp; Work, 2018, volume 31, number 1.</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External stakeholders have increasingly participated in instructional and training activities in higher education; however, their contribution has not yet been adequately documented, especially in non-Western university contexts. This article reports a study that examined external stakeholders’ roles and factors influencing their participation in these roles in developing generic skills (GS) for students at six Vietnamese universities of different institutional contexts. Data, which were primarily collected by semi-structured interviews with 69 university leaders, academics and staff members of the Youth Union and its associates, were </w:t>
      </w:r>
      <w:proofErr w:type="spellStart"/>
      <w:r w:rsidRPr="00C70DBF">
        <w:rPr>
          <w:rFonts w:ascii="Arial" w:eastAsia="Times New Roman" w:hAnsi="Arial" w:cs="Arial"/>
          <w:color w:val="000000"/>
          <w:szCs w:val="24"/>
        </w:rPr>
        <w:t>analysed</w:t>
      </w:r>
      <w:proofErr w:type="spellEnd"/>
      <w:r w:rsidRPr="00C70DBF">
        <w:rPr>
          <w:rFonts w:ascii="Arial" w:eastAsia="Times New Roman" w:hAnsi="Arial" w:cs="Arial"/>
          <w:color w:val="000000"/>
          <w:szCs w:val="24"/>
        </w:rPr>
        <w:t xml:space="preserve"> using a content analysis approach. The analysis showed that external stakeholders participated in multiple roles in executing GS policy, including consulting relevant GS for curriculum modification, </w:t>
      </w:r>
      <w:r w:rsidRPr="00C70DBF">
        <w:rPr>
          <w:rFonts w:ascii="Arial" w:eastAsia="Times New Roman" w:hAnsi="Arial" w:cs="Arial"/>
          <w:color w:val="000000"/>
          <w:szCs w:val="24"/>
        </w:rPr>
        <w:lastRenderedPageBreak/>
        <w:t xml:space="preserve">training students in these skills, providing and supervising student internships, and evaluating the effectiveness of the skills development </w:t>
      </w:r>
      <w:proofErr w:type="spellStart"/>
      <w:r w:rsidRPr="00C70DBF">
        <w:rPr>
          <w:rFonts w:ascii="Arial" w:eastAsia="Times New Roman" w:hAnsi="Arial" w:cs="Arial"/>
          <w:color w:val="000000"/>
          <w:szCs w:val="24"/>
        </w:rPr>
        <w:t>programmes</w:t>
      </w:r>
      <w:proofErr w:type="spellEnd"/>
      <w:r w:rsidRPr="00C70DBF">
        <w:rPr>
          <w:rFonts w:ascii="Arial" w:eastAsia="Times New Roman" w:hAnsi="Arial" w:cs="Arial"/>
          <w:color w:val="000000"/>
          <w:szCs w:val="24"/>
        </w:rPr>
        <w:t>. The analysis indicated that their participation was influenced by their interests in these roles, university location and university status. University leadership, which appeared to be driven by contextual factors such as several reforms concurrently taking place, curriculum autonomy, and regulations about staff appointment, was also found to influence extremal stakeholders’ participation. </w:t>
      </w:r>
    </w:p>
    <w:p w:rsidR="00A028EE" w:rsidRDefault="00A028EE" w:rsidP="00C70DBF">
      <w:pPr>
        <w:spacing w:before="100" w:beforeAutospacing="1" w:after="0" w:line="240" w:lineRule="auto"/>
      </w:pPr>
      <w:hyperlink w:anchor="_top" w:history="1">
        <w:hyperlink w:anchor="_top" w:history="1">
          <w:r>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31" w:name="m_2889938815520070680__Toc519521657"/>
      <w:r w:rsidRPr="00C70DBF">
        <w:rPr>
          <w:rFonts w:ascii="Calibri" w:eastAsia="Times New Roman" w:hAnsi="Calibri" w:cs="Calibri"/>
          <w:b/>
          <w:bCs/>
          <w:color w:val="800000"/>
          <w:sz w:val="22"/>
        </w:rPr>
        <w:t>Performance of private higher education institutions in Vietnam: evidence using DEA-based bootstrap directional distance approach with quasi-fixed inputs.</w:t>
      </w:r>
      <w:bookmarkEnd w:id="31"/>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Renato A. </w:t>
      </w:r>
      <w:proofErr w:type="spellStart"/>
      <w:r w:rsidRPr="00C70DBF">
        <w:rPr>
          <w:rFonts w:ascii="Arial" w:eastAsia="Times New Roman" w:hAnsi="Arial" w:cs="Arial"/>
          <w:color w:val="000000"/>
          <w:szCs w:val="24"/>
        </w:rPr>
        <w:t>Villano</w:t>
      </w:r>
      <w:proofErr w:type="spellEnd"/>
      <w:r w:rsidRPr="00C70DBF">
        <w:rPr>
          <w:rFonts w:ascii="Arial" w:eastAsia="Times New Roman" w:hAnsi="Arial" w:cs="Arial"/>
          <w:color w:val="000000"/>
          <w:szCs w:val="24"/>
        </w:rPr>
        <w:t xml:space="preserve"> and Carolyn-Dung T. T. Tran.</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Applied Economics, 2018, pp. 1-13.</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w:t>
      </w:r>
      <w:proofErr w:type="spellStart"/>
      <w:r w:rsidRPr="00C70DBF">
        <w:rPr>
          <w:rFonts w:ascii="Arial" w:eastAsia="Times New Roman" w:hAnsi="Arial" w:cs="Arial"/>
          <w:color w:val="000000"/>
          <w:szCs w:val="24"/>
        </w:rPr>
        <w:t>Vietnam</w:t>
      </w:r>
      <w:proofErr w:type="gramStart"/>
      <w:r w:rsidRPr="00C70DBF">
        <w:rPr>
          <w:rFonts w:ascii="Arial" w:eastAsia="Times New Roman" w:hAnsi="Arial" w:cs="Arial"/>
          <w:color w:val="000000"/>
          <w:szCs w:val="24"/>
        </w:rPr>
        <w:t>?s</w:t>
      </w:r>
      <w:proofErr w:type="spellEnd"/>
      <w:proofErr w:type="gramEnd"/>
      <w:r w:rsidRPr="00C70DBF">
        <w:rPr>
          <w:rFonts w:ascii="Arial" w:eastAsia="Times New Roman" w:hAnsi="Arial" w:cs="Arial"/>
          <w:color w:val="000000"/>
          <w:szCs w:val="24"/>
        </w:rPr>
        <w:t xml:space="preserve"> higher education has witnessed substantial improvements since the implementation of the </w:t>
      </w:r>
      <w:proofErr w:type="spellStart"/>
      <w:r w:rsidRPr="00C70DBF">
        <w:rPr>
          <w:rFonts w:ascii="Arial" w:eastAsia="Times New Roman" w:hAnsi="Arial" w:cs="Arial"/>
          <w:color w:val="000000"/>
          <w:szCs w:val="24"/>
        </w:rPr>
        <w:t>Doi</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Moi</w:t>
      </w:r>
      <w:proofErr w:type="spellEnd"/>
      <w:r w:rsidRPr="00C70DBF">
        <w:rPr>
          <w:rFonts w:ascii="Arial" w:eastAsia="Times New Roman" w:hAnsi="Arial" w:cs="Arial"/>
          <w:color w:val="000000"/>
          <w:szCs w:val="24"/>
        </w:rPr>
        <w:t xml:space="preserve"> (renovation) policy. One of the significant developments is the promotion of establishment and enhancement of the role of private institutions in national education systems. However, the quest to improve the overall performance of the private higher education institutions remains a big challenge for many stakeholders. We assess the performance of Vietnamese private universities using a data envelopment </w:t>
      </w:r>
      <w:proofErr w:type="spellStart"/>
      <w:r w:rsidRPr="00C70DBF">
        <w:rPr>
          <w:rFonts w:ascii="Arial" w:eastAsia="Times New Roman" w:hAnsi="Arial" w:cs="Arial"/>
          <w:color w:val="000000"/>
          <w:szCs w:val="24"/>
        </w:rPr>
        <w:t>analysis</w:t>
      </w:r>
      <w:proofErr w:type="gramStart"/>
      <w:r w:rsidRPr="00C70DBF">
        <w:rPr>
          <w:rFonts w:ascii="Arial" w:eastAsia="Times New Roman" w:hAnsi="Arial" w:cs="Arial"/>
          <w:color w:val="000000"/>
          <w:szCs w:val="24"/>
        </w:rPr>
        <w:t>?based</w:t>
      </w:r>
      <w:proofErr w:type="spellEnd"/>
      <w:proofErr w:type="gramEnd"/>
      <w:r w:rsidRPr="00C70DBF">
        <w:rPr>
          <w:rFonts w:ascii="Arial" w:eastAsia="Times New Roman" w:hAnsi="Arial" w:cs="Arial"/>
          <w:color w:val="000000"/>
          <w:szCs w:val="24"/>
        </w:rPr>
        <w:t xml:space="preserve"> bootstrap directional distance approach with quasi-fixed inputs. The results show that there was a large variation in the efficiency levels of private universities within and between academic years and between metropolitan and other private universities. Our empirical findings provide more insights for educational leaders and policy makers on the performance of private higher education institutions and the implications of privatization of the national higher education system.</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32" w:name="m_2889938815520070680__Toc519521658"/>
      <w:r w:rsidRPr="00C70DBF">
        <w:rPr>
          <w:rFonts w:ascii="Calibri" w:eastAsia="Times New Roman" w:hAnsi="Calibri" w:cs="Calibri"/>
          <w:b/>
          <w:bCs/>
          <w:color w:val="800000"/>
          <w:sz w:val="22"/>
        </w:rPr>
        <w:t xml:space="preserve">University curriculum reforms in Vietnam 1986-2015: knowledge, </w:t>
      </w:r>
      <w:proofErr w:type="spellStart"/>
      <w:r w:rsidRPr="00C70DBF">
        <w:rPr>
          <w:rFonts w:ascii="Calibri" w:eastAsia="Times New Roman" w:hAnsi="Calibri" w:cs="Calibri"/>
          <w:b/>
          <w:bCs/>
          <w:color w:val="800000"/>
          <w:sz w:val="22"/>
        </w:rPr>
        <w:t>specialisation</w:t>
      </w:r>
      <w:proofErr w:type="spellEnd"/>
      <w:r w:rsidRPr="00C70DBF">
        <w:rPr>
          <w:rFonts w:ascii="Calibri" w:eastAsia="Times New Roman" w:hAnsi="Calibri" w:cs="Calibri"/>
          <w:b/>
          <w:bCs/>
          <w:color w:val="800000"/>
          <w:sz w:val="22"/>
        </w:rPr>
        <w:t xml:space="preserve"> and social order [PhD thesis].</w:t>
      </w:r>
      <w:bookmarkEnd w:id="32"/>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proofErr w:type="gram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Kim </w:t>
      </w:r>
      <w:proofErr w:type="spellStart"/>
      <w:r w:rsidRPr="00C70DBF">
        <w:rPr>
          <w:rFonts w:ascii="Arial" w:eastAsia="Times New Roman" w:hAnsi="Arial" w:cs="Arial"/>
          <w:color w:val="000000"/>
          <w:szCs w:val="24"/>
        </w:rPr>
        <w:t>Quy</w:t>
      </w:r>
      <w:proofErr w:type="spellEnd"/>
      <w:r w:rsidRPr="00C70DBF">
        <w:rPr>
          <w:rFonts w:ascii="Arial" w:eastAsia="Times New Roman" w:hAnsi="Arial" w:cs="Arial"/>
          <w:color w:val="000000"/>
          <w:szCs w:val="24"/>
        </w:rPr>
        <w:t xml:space="preserve"> Nguyen, University of Melbourne.</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Melbourne Graduate School of Education,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thesis provides a new detailed curriculum focused account of an important reform period in Vietnamese higher education policy. It sets out to explore questions of knowledge, </w:t>
      </w:r>
      <w:proofErr w:type="spellStart"/>
      <w:r w:rsidRPr="00C70DBF">
        <w:rPr>
          <w:rFonts w:ascii="Arial" w:eastAsia="Times New Roman" w:hAnsi="Arial" w:cs="Arial"/>
          <w:color w:val="000000"/>
          <w:szCs w:val="24"/>
        </w:rPr>
        <w:t>specialisation</w:t>
      </w:r>
      <w:proofErr w:type="spellEnd"/>
      <w:r w:rsidRPr="00C70DBF">
        <w:rPr>
          <w:rFonts w:ascii="Arial" w:eastAsia="Times New Roman" w:hAnsi="Arial" w:cs="Arial"/>
          <w:color w:val="000000"/>
          <w:szCs w:val="24"/>
        </w:rPr>
        <w:t xml:space="preserve"> and social order in relation to changing iterations of education policy for higher education in Vietnam between 1986 and 2015, a period of significant changes of higher education policy, as Vietnam aimed to incorporate a </w:t>
      </w:r>
      <w:r w:rsidRPr="00C70DBF">
        <w:rPr>
          <w:rFonts w:ascii="Arial" w:eastAsia="Times New Roman" w:hAnsi="Arial" w:cs="Arial"/>
          <w:color w:val="000000"/>
          <w:szCs w:val="24"/>
        </w:rPr>
        <w:lastRenderedPageBreak/>
        <w:t xml:space="preserve">stronger market economic agenda and outcomes in its higher education curriculum. More specifically, the study is concerned with knowledge and its relation to the problem of </w:t>
      </w:r>
      <w:proofErr w:type="spellStart"/>
      <w:r w:rsidRPr="00C70DBF">
        <w:rPr>
          <w:rFonts w:ascii="Arial" w:eastAsia="Times New Roman" w:hAnsi="Arial" w:cs="Arial"/>
          <w:color w:val="000000"/>
          <w:szCs w:val="24"/>
        </w:rPr>
        <w:t>specialisation</w:t>
      </w:r>
      <w:proofErr w:type="spellEnd"/>
      <w:r w:rsidRPr="00C70DBF">
        <w:rPr>
          <w:rFonts w:ascii="Arial" w:eastAsia="Times New Roman" w:hAnsi="Arial" w:cs="Arial"/>
          <w:color w:val="000000"/>
          <w:szCs w:val="24"/>
        </w:rPr>
        <w:t xml:space="preserve"> and social order in successive curricular reforms in Vietnam during the period under study. To achieve these aims, the study employs a particular approach in the sociology of education, one that is grounded in the </w:t>
      </w:r>
      <w:proofErr w:type="spellStart"/>
      <w:r w:rsidRPr="00C70DBF">
        <w:rPr>
          <w:rFonts w:ascii="Arial" w:eastAsia="Times New Roman" w:hAnsi="Arial" w:cs="Arial"/>
          <w:color w:val="000000"/>
          <w:szCs w:val="24"/>
        </w:rPr>
        <w:t>Durkheimian</w:t>
      </w:r>
      <w:proofErr w:type="spellEnd"/>
      <w:r w:rsidRPr="00C70DBF">
        <w:rPr>
          <w:rFonts w:ascii="Arial" w:eastAsia="Times New Roman" w:hAnsi="Arial" w:cs="Arial"/>
          <w:color w:val="000000"/>
          <w:szCs w:val="24"/>
        </w:rPr>
        <w:t xml:space="preserve"> tradition. In doing so, the thesis has attempted to address this issue in a fresh way from major approaches to curriculum analysis and reform in contemporary educational research. This approach, while acknowledging that the influences of socio-political factors are not to be downplayed in shaping curriculum discourse, argues that how curriculum knowledge is built and modified also depends on its epistemological basis. The evidence base for this research draws on official policy documents supplemented by semi-structured expert interviews. The thesis researches the details of three different phases of major policy change to </w:t>
      </w:r>
      <w:proofErr w:type="spellStart"/>
      <w:r w:rsidRPr="00C70DBF">
        <w:rPr>
          <w:rFonts w:ascii="Arial" w:eastAsia="Times New Roman" w:hAnsi="Arial" w:cs="Arial"/>
          <w:color w:val="000000"/>
          <w:szCs w:val="24"/>
        </w:rPr>
        <w:t>analyse</w:t>
      </w:r>
      <w:proofErr w:type="spellEnd"/>
      <w:r w:rsidRPr="00C70DBF">
        <w:rPr>
          <w:rFonts w:ascii="Arial" w:eastAsia="Times New Roman" w:hAnsi="Arial" w:cs="Arial"/>
          <w:color w:val="000000"/>
          <w:szCs w:val="24"/>
        </w:rPr>
        <w:t xml:space="preserve"> what the policies say about aims and key agendas of each reform phase and how they set up </w:t>
      </w:r>
      <w:proofErr w:type="spellStart"/>
      <w:r w:rsidRPr="00C70DBF">
        <w:rPr>
          <w:rFonts w:ascii="Arial" w:eastAsia="Times New Roman" w:hAnsi="Arial" w:cs="Arial"/>
          <w:color w:val="000000"/>
          <w:szCs w:val="24"/>
        </w:rPr>
        <w:t>organisation</w:t>
      </w:r>
      <w:proofErr w:type="spellEnd"/>
      <w:r w:rsidRPr="00C70DBF">
        <w:rPr>
          <w:rFonts w:ascii="Arial" w:eastAsia="Times New Roman" w:hAnsi="Arial" w:cs="Arial"/>
          <w:color w:val="000000"/>
          <w:szCs w:val="24"/>
        </w:rPr>
        <w:t xml:space="preserve"> and structure of curriculum. In doing this it attends to aims and tensions regarding issues of knowledge modernization on the one hand and social order on the other. The analysis approach is both interpretive and critical. Finally, the study draws on Emile Durkheim’s argument on the moral nature of </w:t>
      </w:r>
      <w:proofErr w:type="spellStart"/>
      <w:r w:rsidRPr="00C70DBF">
        <w:rPr>
          <w:rFonts w:ascii="Arial" w:eastAsia="Times New Roman" w:hAnsi="Arial" w:cs="Arial"/>
          <w:color w:val="000000"/>
          <w:szCs w:val="24"/>
        </w:rPr>
        <w:t>specialisation</w:t>
      </w:r>
      <w:proofErr w:type="spellEnd"/>
      <w:r w:rsidRPr="00C70DBF">
        <w:rPr>
          <w:rFonts w:ascii="Arial" w:eastAsia="Times New Roman" w:hAnsi="Arial" w:cs="Arial"/>
          <w:color w:val="000000"/>
          <w:szCs w:val="24"/>
        </w:rPr>
        <w:t xml:space="preserve"> as one possible way of reflecting on the epistemic and moral tension evident in the reform period. Overall it is argued that successive university curriculum reforms between 1986 and 2015 involve (1) an uneasy attempt on the part of the policymakers to try to put together the American-European style while maintaining a consistent ‘red’ approach, each with unsatisfactory results; (2) an epistemic paradox between a neo-conservative ‘red’ approach in which knowledge from certain disciplines was treated as fixed on the one hand, and, on the other hand, a set of generic approaches in which any forms of knowledge were assumed to be as valid or invalid as any other as long as they served the pragmatist goal of economic development, and (3) a regulative paradox between moral authoritarianism and industrial authoritarianism, both of which deny the sui generis moral nature of </w:t>
      </w:r>
      <w:proofErr w:type="spellStart"/>
      <w:r w:rsidRPr="00C70DBF">
        <w:rPr>
          <w:rFonts w:ascii="Arial" w:eastAsia="Times New Roman" w:hAnsi="Arial" w:cs="Arial"/>
          <w:color w:val="000000"/>
          <w:szCs w:val="24"/>
        </w:rPr>
        <w:t>specialisation</w:t>
      </w:r>
      <w:proofErr w:type="spellEnd"/>
      <w:r w:rsidRPr="00C70DBF">
        <w:rPr>
          <w:rFonts w:ascii="Arial" w:eastAsia="Times New Roman" w:hAnsi="Arial" w:cs="Arial"/>
          <w:color w:val="000000"/>
          <w:szCs w:val="24"/>
        </w:rPr>
        <w:t xml:space="preserve"> in the </w:t>
      </w:r>
      <w:proofErr w:type="spellStart"/>
      <w:r w:rsidRPr="00C70DBF">
        <w:rPr>
          <w:rFonts w:ascii="Arial" w:eastAsia="Times New Roman" w:hAnsi="Arial" w:cs="Arial"/>
          <w:color w:val="000000"/>
          <w:szCs w:val="24"/>
        </w:rPr>
        <w:t>Durkheimian</w:t>
      </w:r>
      <w:proofErr w:type="spellEnd"/>
      <w:r w:rsidRPr="00C70DBF">
        <w:rPr>
          <w:rFonts w:ascii="Arial" w:eastAsia="Times New Roman" w:hAnsi="Arial" w:cs="Arial"/>
          <w:color w:val="000000"/>
          <w:szCs w:val="24"/>
        </w:rPr>
        <w:t xml:space="preserve"> sense. One of the key implications from the study is that the reforms did not seem to generate curriculum approaches, both epistemic and moral, that truly reflect an increasingly differentiated society both in terms of work and values. Through this, the study problematizes any curriculum reform attempts that disregard the intrinsic autonomy of education and knowledge by equating these categories with socio-economic interests.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23"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33" w:name="m_2889938815520070680__Toc519521659"/>
      <w:r w:rsidRPr="00C70DBF">
        <w:rPr>
          <w:rFonts w:ascii="Calibri" w:eastAsia="Times New Roman" w:hAnsi="Calibri" w:cs="Calibri"/>
          <w:b/>
          <w:bCs/>
          <w:color w:val="800000"/>
          <w:sz w:val="22"/>
        </w:rPr>
        <w:t>English Tertiary Education in Vietnam: Foreign language policy and nation building.</w:t>
      </w:r>
      <w:bookmarkEnd w:id="33"/>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James Albright. </w:t>
      </w:r>
      <w:proofErr w:type="gramStart"/>
      <w:r w:rsidRPr="00C70DBF">
        <w:rPr>
          <w:rFonts w:ascii="Arial" w:eastAsia="Times New Roman" w:hAnsi="Arial" w:cs="Arial"/>
          <w:color w:val="000000"/>
          <w:szCs w:val="24"/>
        </w:rPr>
        <w:t>Routledge,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 xml:space="preserve">Abstract: As part of a long series of Vietnam’s policy objectives, English education has been identified as key to improving the quality of its rapidly expanding tertiary institutions and is crucial to the larger aim of </w:t>
      </w:r>
      <w:proofErr w:type="spellStart"/>
      <w:r w:rsidRPr="00C70DBF">
        <w:rPr>
          <w:rFonts w:ascii="Arial" w:eastAsia="Times New Roman" w:hAnsi="Arial" w:cs="Arial"/>
          <w:color w:val="000000"/>
          <w:szCs w:val="24"/>
        </w:rPr>
        <w:t>modernising</w:t>
      </w:r>
      <w:proofErr w:type="spellEnd"/>
      <w:r w:rsidRPr="00C70DBF">
        <w:rPr>
          <w:rFonts w:ascii="Arial" w:eastAsia="Times New Roman" w:hAnsi="Arial" w:cs="Arial"/>
          <w:color w:val="000000"/>
          <w:szCs w:val="24"/>
        </w:rPr>
        <w:t xml:space="preserve"> and </w:t>
      </w:r>
      <w:proofErr w:type="spellStart"/>
      <w:r w:rsidRPr="00C70DBF">
        <w:rPr>
          <w:rFonts w:ascii="Arial" w:eastAsia="Times New Roman" w:hAnsi="Arial" w:cs="Arial"/>
          <w:color w:val="000000"/>
          <w:szCs w:val="24"/>
        </w:rPr>
        <w:t>internationalising</w:t>
      </w:r>
      <w:proofErr w:type="spellEnd"/>
      <w:r w:rsidRPr="00C70DBF">
        <w:rPr>
          <w:rFonts w:ascii="Arial" w:eastAsia="Times New Roman" w:hAnsi="Arial" w:cs="Arial"/>
          <w:color w:val="000000"/>
          <w:szCs w:val="24"/>
        </w:rPr>
        <w:t xml:space="preserve"> its economy. Bringing together a wide range of Vietnamese and foreign English education scholars, and tertiary educational practitioners, this book documents the significant progress and challenges in the </w:t>
      </w:r>
      <w:proofErr w:type="spellStart"/>
      <w:r w:rsidRPr="00C70DBF">
        <w:rPr>
          <w:rFonts w:ascii="Arial" w:eastAsia="Times New Roman" w:hAnsi="Arial" w:cs="Arial"/>
          <w:color w:val="000000"/>
          <w:szCs w:val="24"/>
        </w:rPr>
        <w:t>realisation</w:t>
      </w:r>
      <w:proofErr w:type="spellEnd"/>
      <w:r w:rsidRPr="00C70DBF">
        <w:rPr>
          <w:rFonts w:ascii="Arial" w:eastAsia="Times New Roman" w:hAnsi="Arial" w:cs="Arial"/>
          <w:color w:val="000000"/>
          <w:szCs w:val="24"/>
        </w:rPr>
        <w:t xml:space="preserve"> of Vietnam’s English language policies as they are enacted in the higher education sector. Changes to Vietnam’s higher education system remain unstable, unsystematic, and insubstantial. This book provides insights into how recent Vietnamese government policy is providing for a substantial and comprehensive renewal of Vietnam’s tertiary education as part of their 2020 plan. Academics and students of English education, language policy, and nation building within the context of increased </w:t>
      </w:r>
      <w:proofErr w:type="spellStart"/>
      <w:r w:rsidRPr="00C70DBF">
        <w:rPr>
          <w:rFonts w:ascii="Arial" w:eastAsia="Times New Roman" w:hAnsi="Arial" w:cs="Arial"/>
          <w:color w:val="000000"/>
          <w:szCs w:val="24"/>
        </w:rPr>
        <w:t>globalisation</w:t>
      </w:r>
      <w:proofErr w:type="spellEnd"/>
      <w:r w:rsidRPr="00C70DBF">
        <w:rPr>
          <w:rFonts w:ascii="Arial" w:eastAsia="Times New Roman" w:hAnsi="Arial" w:cs="Arial"/>
          <w:color w:val="000000"/>
          <w:szCs w:val="24"/>
        </w:rPr>
        <w:t xml:space="preserve"> and </w:t>
      </w:r>
      <w:proofErr w:type="spellStart"/>
      <w:r w:rsidRPr="00C70DBF">
        <w:rPr>
          <w:rFonts w:ascii="Arial" w:eastAsia="Times New Roman" w:hAnsi="Arial" w:cs="Arial"/>
          <w:color w:val="000000"/>
          <w:szCs w:val="24"/>
        </w:rPr>
        <w:t>marketisation</w:t>
      </w:r>
      <w:proofErr w:type="spellEnd"/>
      <w:r w:rsidRPr="00C70DBF">
        <w:rPr>
          <w:rFonts w:ascii="Arial" w:eastAsia="Times New Roman" w:hAnsi="Arial" w:cs="Arial"/>
          <w:color w:val="000000"/>
          <w:szCs w:val="24"/>
        </w:rPr>
        <w:t xml:space="preserve"> in developing nations and Vietnam, in particular, should find this book valuable.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34" w:name="m_2889938815520070680__Toc519521660"/>
      <w:r w:rsidRPr="00C70DBF">
        <w:rPr>
          <w:rFonts w:ascii="Calibri" w:eastAsia="Times New Roman" w:hAnsi="Calibri" w:cs="Calibri"/>
          <w:b/>
          <w:bCs/>
          <w:color w:val="800000"/>
          <w:sz w:val="22"/>
        </w:rPr>
        <w:t>Impact Factors on Using of E-learning System and Learning Achievement of Students at Several Universities in Vietnam.</w:t>
      </w:r>
      <w:bookmarkEnd w:id="34"/>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Quoc </w:t>
      </w:r>
      <w:proofErr w:type="spellStart"/>
      <w:r w:rsidRPr="00C70DBF">
        <w:rPr>
          <w:rFonts w:ascii="Arial" w:eastAsia="Times New Roman" w:hAnsi="Arial" w:cs="Arial"/>
          <w:color w:val="000000"/>
          <w:szCs w:val="24"/>
        </w:rPr>
        <w:t>Trung</w:t>
      </w:r>
      <w:proofErr w:type="spellEnd"/>
      <w:r w:rsidRPr="00C70DBF">
        <w:rPr>
          <w:rFonts w:ascii="Arial" w:eastAsia="Times New Roman" w:hAnsi="Arial" w:cs="Arial"/>
          <w:color w:val="000000"/>
          <w:szCs w:val="24"/>
        </w:rPr>
        <w:t xml:space="preserve"> Pham and Thanh </w:t>
      </w:r>
      <w:proofErr w:type="spellStart"/>
      <w:r w:rsidRPr="00C70DBF">
        <w:rPr>
          <w:rFonts w:ascii="Arial" w:eastAsia="Times New Roman" w:hAnsi="Arial" w:cs="Arial"/>
          <w:color w:val="000000"/>
          <w:szCs w:val="24"/>
        </w:rPr>
        <w:t>Phong</w:t>
      </w:r>
      <w:proofErr w:type="spellEnd"/>
      <w:r w:rsidRPr="00C70DBF">
        <w:rPr>
          <w:rFonts w:ascii="Arial" w:eastAsia="Times New Roman" w:hAnsi="Arial" w:cs="Arial"/>
          <w:color w:val="000000"/>
          <w:szCs w:val="24"/>
        </w:rPr>
        <w:t xml:space="preserve"> Tran, Springer International Publishing, Cham, 2018.</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The industrial revolution 4.0 opens many opportunities for online learning and leads to the need to study, entertain, and work anywhere and anytime. Recently, e-learning systems become vital for any university to increase the educational quality and to provide students useful and high quality learning resources. However, how to encourage the e-learning usage and to improve the learning achievement of students through e-learning system is still a challenged task. From previous researches, a research model has been proposed and it is evaluated by Cronbach alpha analysis, EFA, CFA, and Structural Equation Modeling (SEM) techniques on SPSS and AMOS software. Based on quantitative analysis from 356 valid samples, the results showed that 5 factors positively impacted on the e-learning usage are: University support (0.367), Computer competency of students (0.274), Infrastructure (0.195), Content and design of courses (0.145), and Collaboration of students (0.118). Besides, learning achievement is influenced by 2 factors, including: E-learning usage (0.446), and Collaboration of students (0.129). Finally, some managerial suggestions are made to improve the efficiency of e-learning usage and to increase the learning achievement of university students in Vietnam.</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24"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35" w:name="m_2889938815520070680__Toc519521661"/>
      <w:r w:rsidRPr="00C70DBF">
        <w:rPr>
          <w:rFonts w:ascii="Arial" w:eastAsia="Times New Roman" w:hAnsi="Arial" w:cs="Arial"/>
          <w:b/>
          <w:bCs/>
          <w:color w:val="FFFFFF"/>
          <w:kern w:val="36"/>
          <w:sz w:val="48"/>
          <w:szCs w:val="48"/>
        </w:rPr>
        <w:lastRenderedPageBreak/>
        <w:t>ENVIRONMENT</w:t>
      </w:r>
      <w:bookmarkEnd w:id="35"/>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36" w:name="m_2889938815520070680__Toc519521662"/>
      <w:proofErr w:type="gramStart"/>
      <w:r w:rsidRPr="00C70DBF">
        <w:rPr>
          <w:rFonts w:ascii="Calibri" w:eastAsia="Times New Roman" w:hAnsi="Calibri" w:cs="Calibri"/>
          <w:b/>
          <w:bCs/>
          <w:color w:val="800000"/>
          <w:sz w:val="22"/>
        </w:rPr>
        <w:t>Exploring the link between equity and effectiveness in Payments for Ecosystem Services: A field experiment in Vietnam.</w:t>
      </w:r>
      <w:bookmarkEnd w:id="36"/>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Lasse Loft, Stefan Gehrig, Dung Ngoc Le and Jens Rommel,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25" w:tgtFrame="_blank" w:history="1">
        <w:r w:rsidRPr="00C70DBF">
          <w:rPr>
            <w:rFonts w:ascii="Arial" w:eastAsia="Times New Roman" w:hAnsi="Arial" w:cs="Arial"/>
            <w:color w:val="1155CC"/>
            <w:szCs w:val="24"/>
            <w:u w:val="single"/>
          </w:rPr>
          <w:t>https://osf.io/b34fw</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Payments for Ecosystem Services (PES) are widespread in conservation policy. In PES, environmental effectiveness and social equity are often perceived as conflicting goals. Empirical studies struggle with the availability of ecological outcome data, measuring equity, and non-random assignment to policies. We investigated the relationship between equity and environmental effectiveness in a PES scheme by means of two novel economic field experiments. First, participants performed a real-effort task under four different payment schemes, resembling popular PES schemes. Second, subjects evaluated the distributional fairness of these schemes in an incentivized norm elicitation game. Based on a sample of 256 farmers from eight villages in Northern Vietnam, we demonstrated that payments which reward merit induced higher conservation efforts than unconditional payments. A payment scheme that exclusively rewarded effort was most effective and perceived as most equitable. We find a positive correlation of individual conservation efforts and village-level perceived equity. Further, women show greater conservation efforts. We discuss how greater equity and effectiveness could be achieved with reforms towards more input-based distribution criteria in Vietnam’s PES legislation. On a global scale, we conclude that efficiency and equity are not necessarily conflicting goals in incentive-based conservation policy. </w:t>
      </w:r>
      <w:proofErr w:type="gramStart"/>
      <w:r w:rsidRPr="00C70DBF">
        <w:rPr>
          <w:rFonts w:ascii="Arial" w:eastAsia="Times New Roman" w:hAnsi="Arial" w:cs="Arial"/>
          <w:color w:val="000000"/>
          <w:szCs w:val="24"/>
        </w:rPr>
        <w:t>[Loft-etal-2018.pdf].</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37" w:name="m_2889938815520070680__Toc519521663"/>
      <w:r w:rsidRPr="00C70DBF">
        <w:rPr>
          <w:rFonts w:ascii="Calibri" w:eastAsia="Times New Roman" w:hAnsi="Calibri" w:cs="Calibri"/>
          <w:b/>
          <w:bCs/>
          <w:color w:val="800000"/>
          <w:sz w:val="22"/>
        </w:rPr>
        <w:t>Incorporation of rice straw mitigates CH4 and N2O emissions in water saving paddy fields of Central Vietnam.</w:t>
      </w:r>
      <w:bookmarkEnd w:id="37"/>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Thai </w:t>
      </w:r>
      <w:proofErr w:type="spellStart"/>
      <w:r w:rsidRPr="00C70DBF">
        <w:rPr>
          <w:rFonts w:ascii="Arial" w:eastAsia="Times New Roman" w:hAnsi="Arial" w:cs="Arial"/>
          <w:color w:val="000000"/>
          <w:szCs w:val="24"/>
        </w:rPr>
        <w:t>Hoa</w:t>
      </w:r>
      <w:proofErr w:type="spellEnd"/>
      <w:r w:rsidRPr="00C70DBF">
        <w:rPr>
          <w:rFonts w:ascii="Arial" w:eastAsia="Times New Roman" w:hAnsi="Arial" w:cs="Arial"/>
          <w:color w:val="000000"/>
          <w:szCs w:val="24"/>
        </w:rPr>
        <w:t xml:space="preserve"> Hoang, </w:t>
      </w:r>
      <w:proofErr w:type="spellStart"/>
      <w:r w:rsidRPr="00C70DBF">
        <w:rPr>
          <w:rFonts w:ascii="Arial" w:eastAsia="Times New Roman" w:hAnsi="Arial" w:cs="Arial"/>
          <w:color w:val="000000"/>
          <w:szCs w:val="24"/>
        </w:rPr>
        <w:t>Dinh</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Thuc</w:t>
      </w:r>
      <w:proofErr w:type="spellEnd"/>
      <w:r w:rsidRPr="00C70DBF">
        <w:rPr>
          <w:rFonts w:ascii="Arial" w:eastAsia="Times New Roman" w:hAnsi="Arial" w:cs="Arial"/>
          <w:color w:val="000000"/>
          <w:szCs w:val="24"/>
        </w:rPr>
        <w:t xml:space="preserve"> Do,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Thu </w:t>
      </w:r>
      <w:proofErr w:type="spellStart"/>
      <w:r w:rsidRPr="00C70DBF">
        <w:rPr>
          <w:rFonts w:ascii="Arial" w:eastAsia="Times New Roman" w:hAnsi="Arial" w:cs="Arial"/>
          <w:color w:val="000000"/>
          <w:szCs w:val="24"/>
        </w:rPr>
        <w:t>Giang</w:t>
      </w:r>
      <w:proofErr w:type="spellEnd"/>
      <w:r w:rsidRPr="00C70DBF">
        <w:rPr>
          <w:rFonts w:ascii="Arial" w:eastAsia="Times New Roman" w:hAnsi="Arial" w:cs="Arial"/>
          <w:color w:val="000000"/>
          <w:szCs w:val="24"/>
        </w:rPr>
        <w:t xml:space="preserve"> Tran, Tan </w:t>
      </w:r>
      <w:proofErr w:type="spellStart"/>
      <w:r w:rsidRPr="00C70DBF">
        <w:rPr>
          <w:rFonts w:ascii="Arial" w:eastAsia="Times New Roman" w:hAnsi="Arial" w:cs="Arial"/>
          <w:color w:val="000000"/>
          <w:szCs w:val="24"/>
        </w:rPr>
        <w:t>Duc</w:t>
      </w:r>
      <w:proofErr w:type="spellEnd"/>
      <w:r w:rsidRPr="00C70DBF">
        <w:rPr>
          <w:rFonts w:ascii="Arial" w:eastAsia="Times New Roman" w:hAnsi="Arial" w:cs="Arial"/>
          <w:color w:val="000000"/>
          <w:szCs w:val="24"/>
        </w:rPr>
        <w:t xml:space="preserve"> Ho and </w:t>
      </w:r>
      <w:proofErr w:type="spellStart"/>
      <w:r w:rsidRPr="00C70DBF">
        <w:rPr>
          <w:rFonts w:ascii="Arial" w:eastAsia="Times New Roman" w:hAnsi="Arial" w:cs="Arial"/>
          <w:color w:val="000000"/>
          <w:szCs w:val="24"/>
        </w:rPr>
        <w:t>Hafeez</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ur</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Rehman</w:t>
      </w:r>
      <w:proofErr w:type="spellEnd"/>
      <w:r w:rsidRPr="00C70DBF">
        <w:rPr>
          <w:rFonts w:ascii="Arial" w:eastAsia="Times New Roman" w:hAnsi="Arial" w:cs="Arial"/>
          <w:color w:val="000000"/>
          <w:szCs w:val="24"/>
        </w:rPr>
        <w:t>. Archives of Agronomy and Soil Science, 2018, pp. 1-12.</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study evaluated the effects of rice straw and water regimes on CH4 and N2O emissions from paddy fields for two rice growing seasons (summer 2014 and spring 2015). Water regimes included alternating </w:t>
      </w:r>
      <w:proofErr w:type="spellStart"/>
      <w:r w:rsidRPr="00C70DBF">
        <w:rPr>
          <w:rFonts w:ascii="Arial" w:eastAsia="Times New Roman" w:hAnsi="Arial" w:cs="Arial"/>
          <w:color w:val="000000"/>
          <w:szCs w:val="24"/>
        </w:rPr>
        <w:t>wet</w:t>
      </w:r>
      <w:proofErr w:type="gramStart"/>
      <w:r w:rsidRPr="00C70DBF">
        <w:rPr>
          <w:rFonts w:ascii="Arial" w:eastAsia="Times New Roman" w:hAnsi="Arial" w:cs="Arial"/>
          <w:color w:val="000000"/>
          <w:szCs w:val="24"/>
        </w:rPr>
        <w:t>?dry</w:t>
      </w:r>
      <w:proofErr w:type="spellEnd"/>
      <w:proofErr w:type="gramEnd"/>
      <w:r w:rsidRPr="00C70DBF">
        <w:rPr>
          <w:rFonts w:ascii="Arial" w:eastAsia="Times New Roman" w:hAnsi="Arial" w:cs="Arial"/>
          <w:color w:val="000000"/>
          <w:szCs w:val="24"/>
        </w:rPr>
        <w:t xml:space="preserve"> irrigation (AWD) maintained at three levels (?5 cm, ? 10 cm and ?15 cm) in comparison to continuous flooding irrigation (CF). Rice straw (5 t ha</w:t>
      </w:r>
      <w:proofErr w:type="gramStart"/>
      <w:r w:rsidRPr="00C70DBF">
        <w:rPr>
          <w:rFonts w:ascii="Arial" w:eastAsia="Times New Roman" w:hAnsi="Arial" w:cs="Arial"/>
          <w:color w:val="000000"/>
          <w:szCs w:val="24"/>
        </w:rPr>
        <w:t>?1</w:t>
      </w:r>
      <w:proofErr w:type="gramEnd"/>
      <w:r w:rsidRPr="00C70DBF">
        <w:rPr>
          <w:rFonts w:ascii="Arial" w:eastAsia="Times New Roman" w:hAnsi="Arial" w:cs="Arial"/>
          <w:color w:val="000000"/>
          <w:szCs w:val="24"/>
        </w:rPr>
        <w:t xml:space="preserve">) was incorporated into the top soil (0 ? 15 cm), </w:t>
      </w:r>
      <w:r w:rsidRPr="00C70DBF">
        <w:rPr>
          <w:rFonts w:ascii="Arial" w:eastAsia="Times New Roman" w:hAnsi="Arial" w:cs="Arial"/>
          <w:color w:val="000000"/>
          <w:szCs w:val="24"/>
        </w:rPr>
        <w:lastRenderedPageBreak/>
        <w:t>distributed and burned in situ. Results showed that using burned in situ rice straw was found to reduce seasonal cumulative CH4 emission (24</w:t>
      </w:r>
      <w:proofErr w:type="gramStart"/>
      <w:r w:rsidRPr="00C70DBF">
        <w:rPr>
          <w:rFonts w:ascii="Arial" w:eastAsia="Times New Roman" w:hAnsi="Arial" w:cs="Arial"/>
          <w:color w:val="000000"/>
          <w:szCs w:val="24"/>
        </w:rPr>
        <w:t>?34</w:t>
      </w:r>
      <w:proofErr w:type="gramEnd"/>
      <w:r w:rsidRPr="00C70DBF">
        <w:rPr>
          <w:rFonts w:ascii="Arial" w:eastAsia="Times New Roman" w:hAnsi="Arial" w:cs="Arial"/>
          <w:color w:val="000000"/>
          <w:szCs w:val="24"/>
        </w:rPr>
        <w:t>% in summer; 18?28% in spring), N2O emission (21?32% in summer; 22?29% in spring) and lower rice yield (8?9%) than rice straw incorporation into top soil. AWD methods reduced the amount of CH4 production (22.6</w:t>
      </w:r>
      <w:proofErr w:type="gramStart"/>
      <w:r w:rsidRPr="00C70DBF">
        <w:rPr>
          <w:rFonts w:ascii="Arial" w:eastAsia="Times New Roman" w:hAnsi="Arial" w:cs="Arial"/>
          <w:color w:val="000000"/>
          <w:szCs w:val="24"/>
        </w:rPr>
        <w:t>?41.5</w:t>
      </w:r>
      <w:proofErr w:type="gramEnd"/>
      <w:r w:rsidRPr="00C70DBF">
        <w:rPr>
          <w:rFonts w:ascii="Arial" w:eastAsia="Times New Roman" w:hAnsi="Arial" w:cs="Arial"/>
          <w:color w:val="000000"/>
          <w:szCs w:val="24"/>
        </w:rPr>
        <w:t>%) and increased N2O emission (25?26%) without any decrease in rice yield. Rice straw incorporation into the top soil with AWD had higher water productivity (23?37%) than rice straw when burned in situ with CF. The results conclude that AWD and rice straw management can be employed as mitigation strategy for CH4 and N2O emissions from paddy fields in Central Vietnam.</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38" w:name="m_2889938815520070680__Toc519521664"/>
      <w:r w:rsidRPr="00C70DBF">
        <w:rPr>
          <w:rFonts w:ascii="Calibri" w:eastAsia="Times New Roman" w:hAnsi="Calibri" w:cs="Calibri"/>
          <w:b/>
          <w:bCs/>
          <w:color w:val="800000"/>
          <w:sz w:val="22"/>
        </w:rPr>
        <w:t>Urban Climate Challenges in Hanoi: Urban Heat Islands and Global Warming.</w:t>
      </w:r>
      <w:bookmarkEnd w:id="38"/>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proofErr w:type="gramStart"/>
      <w:r w:rsidRPr="00C70DBF">
        <w:rPr>
          <w:rFonts w:ascii="Arial" w:eastAsia="Times New Roman" w:hAnsi="Arial" w:cs="Arial"/>
          <w:color w:val="000000"/>
          <w:szCs w:val="24"/>
        </w:rPr>
        <w:t>Andhang</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Rakhmat</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Trihamdani</w:t>
      </w:r>
      <w:proofErr w:type="spellEnd"/>
      <w:r w:rsidRPr="00C70DBF">
        <w:rPr>
          <w:rFonts w:ascii="Arial" w:eastAsia="Times New Roman" w:hAnsi="Arial" w:cs="Arial"/>
          <w:color w:val="000000"/>
          <w:szCs w:val="24"/>
        </w:rPr>
        <w:t xml:space="preserve">, Han Soo Lee, </w:t>
      </w:r>
      <w:proofErr w:type="spellStart"/>
      <w:r w:rsidRPr="00C70DBF">
        <w:rPr>
          <w:rFonts w:ascii="Arial" w:eastAsia="Times New Roman" w:hAnsi="Arial" w:cs="Arial"/>
          <w:color w:val="000000"/>
          <w:szCs w:val="24"/>
        </w:rPr>
        <w:t>Tetsu</w:t>
      </w:r>
      <w:proofErr w:type="spellEnd"/>
      <w:r w:rsidRPr="00C70DBF">
        <w:rPr>
          <w:rFonts w:ascii="Arial" w:eastAsia="Times New Roman" w:hAnsi="Arial" w:cs="Arial"/>
          <w:color w:val="000000"/>
          <w:szCs w:val="24"/>
        </w:rPr>
        <w:t xml:space="preserve"> Kubota, Satoru </w:t>
      </w:r>
      <w:proofErr w:type="spellStart"/>
      <w:r w:rsidRPr="00C70DBF">
        <w:rPr>
          <w:rFonts w:ascii="Arial" w:eastAsia="Times New Roman" w:hAnsi="Arial" w:cs="Arial"/>
          <w:color w:val="000000"/>
          <w:szCs w:val="24"/>
        </w:rPr>
        <w:t>Iizuka</w:t>
      </w:r>
      <w:proofErr w:type="spellEnd"/>
      <w:r w:rsidRPr="00C70DBF">
        <w:rPr>
          <w:rFonts w:ascii="Arial" w:eastAsia="Times New Roman" w:hAnsi="Arial" w:cs="Arial"/>
          <w:color w:val="000000"/>
          <w:szCs w:val="24"/>
        </w:rPr>
        <w:t xml:space="preserve"> and Tran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Thu Phuong.</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in</w:t>
      </w:r>
      <w:proofErr w:type="gramEnd"/>
      <w:r w:rsidRPr="00C70DBF">
        <w:rPr>
          <w:rFonts w:ascii="Arial" w:eastAsia="Times New Roman" w:hAnsi="Arial" w:cs="Arial"/>
          <w:color w:val="000000"/>
          <w:szCs w:val="24"/>
        </w:rPr>
        <w:t>: Sustainable Houses and Living in the Hot-Humid Climates of Asia, Springer Singapore, Singapore, 2018, pp. 529-539.</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Urban climate of rapidly growing cities such as Hanoi will alter not only owing to land use changes but also global warming effect. This chapter investigates the contributions of land use changes and global warming to the future increases in urban temperature in Hanoi for 2030 through a numerical simulation using the Weather Research and Forecasting (WRF). The future climate data utilized the fifth phase of the Coupled Model </w:t>
      </w:r>
      <w:proofErr w:type="spellStart"/>
      <w:r w:rsidRPr="00C70DBF">
        <w:rPr>
          <w:rFonts w:ascii="Arial" w:eastAsia="Times New Roman" w:hAnsi="Arial" w:cs="Arial"/>
          <w:color w:val="000000"/>
          <w:szCs w:val="24"/>
        </w:rPr>
        <w:t>Intercomparison</w:t>
      </w:r>
      <w:proofErr w:type="spellEnd"/>
      <w:r w:rsidRPr="00C70DBF">
        <w:rPr>
          <w:rFonts w:ascii="Arial" w:eastAsia="Times New Roman" w:hAnsi="Arial" w:cs="Arial"/>
          <w:color w:val="000000"/>
          <w:szCs w:val="24"/>
        </w:rPr>
        <w:t xml:space="preserve"> Project (CMIP5) projected by the Model for Interdisciplinary Research on Climate Version 5 (MIROC5) through a direct dynamical downscaling method. In the 2030s, the average air temperature increase in the existing urban areas was projected to be up to 2.1 °C, of which up to 1.5 and 0.6 °C are attributable to global warming and land use changes, respectively. The future increase in urban temperature will likely exceed the cooling effects of any urban heat island (UHI) mitigation measures.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26"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39" w:name="m_2889938815520070680__Toc519521665"/>
      <w:proofErr w:type="gramStart"/>
      <w:r w:rsidRPr="00C70DBF">
        <w:rPr>
          <w:rFonts w:ascii="Calibri" w:eastAsia="Times New Roman" w:hAnsi="Calibri" w:cs="Calibri"/>
          <w:b/>
          <w:bCs/>
          <w:color w:val="800000"/>
          <w:sz w:val="22"/>
        </w:rPr>
        <w:t>Exploratory assessment of outdoor and indoor airborne black carbon in different locations of Hanoi, Vietnam.</w:t>
      </w:r>
      <w:bookmarkEnd w:id="39"/>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Long K. Tran, Tran Ngoc </w:t>
      </w:r>
      <w:proofErr w:type="spellStart"/>
      <w:r w:rsidRPr="00C70DBF">
        <w:rPr>
          <w:rFonts w:ascii="Arial" w:eastAsia="Times New Roman" w:hAnsi="Arial" w:cs="Arial"/>
          <w:color w:val="000000"/>
          <w:szCs w:val="24"/>
        </w:rPr>
        <w:t>Quang</w:t>
      </w:r>
      <w:proofErr w:type="spellEnd"/>
      <w:r w:rsidRPr="00C70DBF">
        <w:rPr>
          <w:rFonts w:ascii="Arial" w:eastAsia="Times New Roman" w:hAnsi="Arial" w:cs="Arial"/>
          <w:color w:val="000000"/>
          <w:szCs w:val="24"/>
        </w:rPr>
        <w:t xml:space="preserve">, Nguyen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Hue, Mac Van </w:t>
      </w:r>
      <w:proofErr w:type="spellStart"/>
      <w:r w:rsidRPr="00C70DBF">
        <w:rPr>
          <w:rFonts w:ascii="Arial" w:eastAsia="Times New Roman" w:hAnsi="Arial" w:cs="Arial"/>
          <w:color w:val="000000"/>
          <w:szCs w:val="24"/>
        </w:rPr>
        <w:t>Dat</w:t>
      </w:r>
      <w:proofErr w:type="spellEnd"/>
      <w:r w:rsidRPr="00C70DBF">
        <w:rPr>
          <w:rFonts w:ascii="Arial" w:eastAsia="Times New Roman" w:hAnsi="Arial" w:cs="Arial"/>
          <w:color w:val="000000"/>
          <w:szCs w:val="24"/>
        </w:rPr>
        <w:t xml:space="preserve">, Lidia </w:t>
      </w:r>
      <w:proofErr w:type="spellStart"/>
      <w:r w:rsidRPr="00C70DBF">
        <w:rPr>
          <w:rFonts w:ascii="Arial" w:eastAsia="Times New Roman" w:hAnsi="Arial" w:cs="Arial"/>
          <w:color w:val="000000"/>
          <w:szCs w:val="24"/>
        </w:rPr>
        <w:t>Morawska</w:t>
      </w:r>
      <w:proofErr w:type="spellEnd"/>
      <w:r w:rsidRPr="00C70DBF">
        <w:rPr>
          <w:rFonts w:ascii="Arial" w:eastAsia="Times New Roman" w:hAnsi="Arial" w:cs="Arial"/>
          <w:color w:val="000000"/>
          <w:szCs w:val="24"/>
        </w:rPr>
        <w:t xml:space="preserve"> and others. </w:t>
      </w:r>
      <w:proofErr w:type="gramStart"/>
      <w:r w:rsidRPr="00C70DBF">
        <w:rPr>
          <w:rFonts w:ascii="Arial" w:eastAsia="Times New Roman" w:hAnsi="Arial" w:cs="Arial"/>
          <w:color w:val="000000"/>
          <w:szCs w:val="24"/>
        </w:rPr>
        <w:t>Science of The Total Environment, 2018, volume 642, pp. 1233-1241.</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Abstract: Black carbon (BC) is a significant component of atmospheric particulate matter, especially in areas affected by combustion emissions. Despite the fact that air pollution is a great concern in Vietnam, there are no studies on the level of BC in the outdoor and indoor environment. In this exploratory study, an assessment of urban BC concentrations was conducted through monitoring of both outdoor and indoor BC concentrations in three households and one working office at different locations across Hanoi. PM2.5 and meteorology data were also obtained for this monitoring period to evaluate the association between them and the outdoor BC concentration. Overall, the mean indoor and mean outdoor BC concentrations by 30 second-logs for the monitoring period were 4.42 </w:t>
      </w:r>
      <w:proofErr w:type="spellStart"/>
      <w:r w:rsidRPr="00C70DBF">
        <w:rPr>
          <w:rFonts w:ascii="Arial" w:eastAsia="Times New Roman" w:hAnsi="Arial" w:cs="Arial"/>
          <w:color w:val="000000"/>
          <w:szCs w:val="24"/>
        </w:rPr>
        <w:t>μg</w:t>
      </w:r>
      <w:proofErr w:type="spellEnd"/>
      <w:r w:rsidRPr="00C70DBF">
        <w:rPr>
          <w:rFonts w:ascii="Arial" w:eastAsia="Times New Roman" w:hAnsi="Arial" w:cs="Arial"/>
          <w:color w:val="000000"/>
          <w:szCs w:val="24"/>
        </w:rPr>
        <w:t>/m3 and 4.89 </w:t>
      </w:r>
      <w:proofErr w:type="spellStart"/>
      <w:r w:rsidRPr="00C70DBF">
        <w:rPr>
          <w:rFonts w:ascii="Arial" w:eastAsia="Times New Roman" w:hAnsi="Arial" w:cs="Arial"/>
          <w:color w:val="000000"/>
          <w:szCs w:val="24"/>
        </w:rPr>
        <w:t>μg</w:t>
      </w:r>
      <w:proofErr w:type="spellEnd"/>
      <w:r w:rsidRPr="00C70DBF">
        <w:rPr>
          <w:rFonts w:ascii="Arial" w:eastAsia="Times New Roman" w:hAnsi="Arial" w:cs="Arial"/>
          <w:color w:val="000000"/>
          <w:szCs w:val="24"/>
        </w:rPr>
        <w:t>/m3, respectively. Time-series analysis of paired indoor and outdoor BC concentrations suggested that indoor BC level was usually influenced by outdoor BC level (r = 0.78, p &amp;</w:t>
      </w:r>
      <w:proofErr w:type="spellStart"/>
      <w:r w:rsidRPr="00C70DBF">
        <w:rPr>
          <w:rFonts w:ascii="Arial" w:eastAsia="Times New Roman" w:hAnsi="Arial" w:cs="Arial"/>
          <w:color w:val="000000"/>
          <w:szCs w:val="24"/>
        </w:rPr>
        <w:t>lt</w:t>
      </w:r>
      <w:proofErr w:type="spellEnd"/>
      <w:proofErr w:type="gramStart"/>
      <w:r w:rsidRPr="00C70DBF">
        <w:rPr>
          <w:rFonts w:ascii="Arial" w:eastAsia="Times New Roman" w:hAnsi="Arial" w:cs="Arial"/>
          <w:color w:val="000000"/>
          <w:szCs w:val="24"/>
        </w:rPr>
        <w:t>; </w:t>
      </w:r>
      <w:proofErr w:type="gramEnd"/>
      <w:r w:rsidRPr="00C70DBF">
        <w:rPr>
          <w:rFonts w:ascii="Arial" w:eastAsia="Times New Roman" w:hAnsi="Arial" w:cs="Arial"/>
          <w:color w:val="000000"/>
          <w:szCs w:val="24"/>
        </w:rPr>
        <w:t>0.001). In this study, we observed a significant positive association between outdoor BC and PM2.5 (r = 0.39, p &amp;</w:t>
      </w:r>
      <w:proofErr w:type="spellStart"/>
      <w:r w:rsidRPr="00C70DBF">
        <w:rPr>
          <w:rFonts w:ascii="Arial" w:eastAsia="Times New Roman" w:hAnsi="Arial" w:cs="Arial"/>
          <w:color w:val="000000"/>
          <w:szCs w:val="24"/>
        </w:rPr>
        <w:t>lt</w:t>
      </w:r>
      <w:proofErr w:type="spellEnd"/>
      <w:proofErr w:type="gramStart"/>
      <w:r w:rsidRPr="00C70DBF">
        <w:rPr>
          <w:rFonts w:ascii="Arial" w:eastAsia="Times New Roman" w:hAnsi="Arial" w:cs="Arial"/>
          <w:color w:val="000000"/>
          <w:szCs w:val="24"/>
        </w:rPr>
        <w:t>; </w:t>
      </w:r>
      <w:proofErr w:type="gramEnd"/>
      <w:r w:rsidRPr="00C70DBF">
        <w:rPr>
          <w:rFonts w:ascii="Arial" w:eastAsia="Times New Roman" w:hAnsi="Arial" w:cs="Arial"/>
          <w:color w:val="000000"/>
          <w:szCs w:val="24"/>
        </w:rPr>
        <w:t>0.001) while outdoor BC negatively correlated with wind speed (r = −0.34, p &amp;</w:t>
      </w:r>
      <w:proofErr w:type="spellStart"/>
      <w:r w:rsidRPr="00C70DBF">
        <w:rPr>
          <w:rFonts w:ascii="Arial" w:eastAsia="Times New Roman" w:hAnsi="Arial" w:cs="Arial"/>
          <w:color w:val="000000"/>
          <w:szCs w:val="24"/>
        </w:rPr>
        <w:t>lt</w:t>
      </w:r>
      <w:proofErr w:type="spellEnd"/>
      <w:r w:rsidRPr="00C70DBF">
        <w:rPr>
          <w:rFonts w:ascii="Arial" w:eastAsia="Times New Roman" w:hAnsi="Arial" w:cs="Arial"/>
          <w:color w:val="000000"/>
          <w:szCs w:val="24"/>
        </w:rPr>
        <w:t>; 0.001). The level of outdoor BC in Hanoi measured in this study is relatively high and should be confirmed by further studies.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40" w:name="m_2889938815520070680__Toc519521666"/>
      <w:r w:rsidRPr="00C70DBF">
        <w:rPr>
          <w:rFonts w:ascii="Calibri" w:eastAsia="Times New Roman" w:hAnsi="Calibri" w:cs="Calibri"/>
          <w:b/>
          <w:bCs/>
          <w:color w:val="800000"/>
          <w:sz w:val="22"/>
        </w:rPr>
        <w:t xml:space="preserve">The hidden threat of heavy metal pollution in high sedimentation and highly dynamic environment: Assessment of metal accumulation rates in the </w:t>
      </w:r>
      <w:proofErr w:type="spellStart"/>
      <w:r w:rsidRPr="00C70DBF">
        <w:rPr>
          <w:rFonts w:ascii="Calibri" w:eastAsia="Times New Roman" w:hAnsi="Calibri" w:cs="Calibri"/>
          <w:b/>
          <w:bCs/>
          <w:color w:val="800000"/>
          <w:sz w:val="22"/>
        </w:rPr>
        <w:t>Thi</w:t>
      </w:r>
      <w:proofErr w:type="spellEnd"/>
      <w:r w:rsidRPr="00C70DBF">
        <w:rPr>
          <w:rFonts w:ascii="Calibri" w:eastAsia="Times New Roman" w:hAnsi="Calibri" w:cs="Calibri"/>
          <w:b/>
          <w:bCs/>
          <w:color w:val="800000"/>
          <w:sz w:val="22"/>
        </w:rPr>
        <w:t xml:space="preserve"> </w:t>
      </w:r>
      <w:proofErr w:type="spellStart"/>
      <w:r w:rsidRPr="00C70DBF">
        <w:rPr>
          <w:rFonts w:ascii="Calibri" w:eastAsia="Times New Roman" w:hAnsi="Calibri" w:cs="Calibri"/>
          <w:b/>
          <w:bCs/>
          <w:color w:val="800000"/>
          <w:sz w:val="22"/>
        </w:rPr>
        <w:t>Vai</w:t>
      </w:r>
      <w:proofErr w:type="spellEnd"/>
      <w:r w:rsidRPr="00C70DBF">
        <w:rPr>
          <w:rFonts w:ascii="Calibri" w:eastAsia="Times New Roman" w:hAnsi="Calibri" w:cs="Calibri"/>
          <w:b/>
          <w:bCs/>
          <w:color w:val="800000"/>
          <w:sz w:val="22"/>
        </w:rPr>
        <w:t xml:space="preserve"> Estuary, Southern Vietnam.</w:t>
      </w:r>
      <w:bookmarkEnd w:id="40"/>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Sandra Costa-</w:t>
      </w:r>
      <w:proofErr w:type="spellStart"/>
      <w:r w:rsidRPr="00C70DBF">
        <w:rPr>
          <w:rFonts w:ascii="Arial" w:eastAsia="Times New Roman" w:hAnsi="Arial" w:cs="Arial"/>
          <w:color w:val="000000"/>
          <w:szCs w:val="24"/>
        </w:rPr>
        <w:t>Böddeker</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Lê</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Xuân</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Thuyên</w:t>
      </w:r>
      <w:proofErr w:type="spellEnd"/>
      <w:r w:rsidRPr="00C70DBF">
        <w:rPr>
          <w:rFonts w:ascii="Arial" w:eastAsia="Times New Roman" w:hAnsi="Arial" w:cs="Arial"/>
          <w:color w:val="000000"/>
          <w:szCs w:val="24"/>
        </w:rPr>
        <w:t xml:space="preserve">, Philipp </w:t>
      </w:r>
      <w:proofErr w:type="spellStart"/>
      <w:r w:rsidRPr="00C70DBF">
        <w:rPr>
          <w:rFonts w:ascii="Arial" w:eastAsia="Times New Roman" w:hAnsi="Arial" w:cs="Arial"/>
          <w:color w:val="000000"/>
          <w:szCs w:val="24"/>
        </w:rPr>
        <w:t>Hoelzmann</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Henko</w:t>
      </w:r>
      <w:proofErr w:type="spellEnd"/>
      <w:r w:rsidRPr="00C70DBF">
        <w:rPr>
          <w:rFonts w:ascii="Arial" w:eastAsia="Times New Roman" w:hAnsi="Arial" w:cs="Arial"/>
          <w:color w:val="000000"/>
          <w:szCs w:val="24"/>
        </w:rPr>
        <w:t xml:space="preserve"> C. de </w:t>
      </w:r>
      <w:proofErr w:type="spellStart"/>
      <w:r w:rsidRPr="00C70DBF">
        <w:rPr>
          <w:rFonts w:ascii="Arial" w:eastAsia="Times New Roman" w:hAnsi="Arial" w:cs="Arial"/>
          <w:color w:val="000000"/>
          <w:szCs w:val="24"/>
        </w:rPr>
        <w:t>Stigter</w:t>
      </w:r>
      <w:proofErr w:type="spellEnd"/>
      <w:r w:rsidRPr="00C70DBF">
        <w:rPr>
          <w:rFonts w:ascii="Arial" w:eastAsia="Times New Roman" w:hAnsi="Arial" w:cs="Arial"/>
          <w:color w:val="000000"/>
          <w:szCs w:val="24"/>
        </w:rPr>
        <w:t xml:space="preserve">, Piet van </w:t>
      </w:r>
      <w:proofErr w:type="spellStart"/>
      <w:r w:rsidRPr="00C70DBF">
        <w:rPr>
          <w:rFonts w:ascii="Arial" w:eastAsia="Times New Roman" w:hAnsi="Arial" w:cs="Arial"/>
          <w:color w:val="000000"/>
          <w:szCs w:val="24"/>
        </w:rPr>
        <w:t>Gaever</w:t>
      </w:r>
      <w:proofErr w:type="spellEnd"/>
      <w:r w:rsidRPr="00C70DBF">
        <w:rPr>
          <w:rFonts w:ascii="Arial" w:eastAsia="Times New Roman" w:hAnsi="Arial" w:cs="Arial"/>
          <w:color w:val="000000"/>
          <w:szCs w:val="24"/>
        </w:rPr>
        <w:t xml:space="preserve"> and others. </w:t>
      </w:r>
      <w:proofErr w:type="gramStart"/>
      <w:r w:rsidRPr="00C70DBF">
        <w:rPr>
          <w:rFonts w:ascii="Arial" w:eastAsia="Times New Roman" w:hAnsi="Arial" w:cs="Arial"/>
          <w:color w:val="000000"/>
          <w:szCs w:val="24"/>
        </w:rPr>
        <w:t>Environmental Pollution, 2018, volume 242, pp. 348-356.</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w:t>
      </w:r>
      <w:proofErr w:type="spellStart"/>
      <w:r w:rsidRPr="00C70DBF">
        <w:rPr>
          <w:rFonts w:ascii="Arial" w:eastAsia="Times New Roman" w:hAnsi="Arial" w:cs="Arial"/>
          <w:color w:val="000000"/>
          <w:szCs w:val="24"/>
        </w:rPr>
        <w:t>Paleoecological</w:t>
      </w:r>
      <w:proofErr w:type="spellEnd"/>
      <w:r w:rsidRPr="00C70DBF">
        <w:rPr>
          <w:rFonts w:ascii="Arial" w:eastAsia="Times New Roman" w:hAnsi="Arial" w:cs="Arial"/>
          <w:color w:val="000000"/>
          <w:szCs w:val="24"/>
        </w:rPr>
        <w:t xml:space="preserve"> assessment is challenging in highly dynamic environments such as estuaries, where sedimentation of material derived from the catchment interferes with marine processes. In this study we analyzed sedimentary heavy metal contents of the last decades to assess the impact of recent industrialization and changes in land use of the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Vai</w:t>
      </w:r>
      <w:proofErr w:type="spellEnd"/>
      <w:r w:rsidRPr="00C70DBF">
        <w:rPr>
          <w:rFonts w:ascii="Arial" w:eastAsia="Times New Roman" w:hAnsi="Arial" w:cs="Arial"/>
          <w:color w:val="000000"/>
          <w:szCs w:val="24"/>
        </w:rPr>
        <w:t xml:space="preserve"> Estuary in Southern Vietnam. Two sediment cores (upstream and downstream) were dated using 210Pb, allowing the environmental reconstruction of the last three decades. Considering the recent and fast economic growth of this region these results are suitable for the evaluation of anthropogenic impacts. Mean sedimentation rates (9.2 cm yr−1 upstream, 4.7 cm yr−1 downstream) indicate high land erosion likely due to deforestation and dumping of dredged material. Sediment quality guidelines (SQG's) showed that Cr and Cu levels exceed threshold values (TEL) in both cores. Upstream Ni is above the probable effect level (PEL) suggesting risk of potential adverse biological effects. Geo-accumulation (I-geo), enrichment factor (EF) and contamination factor (CF) indices were calculated based on </w:t>
      </w:r>
      <w:proofErr w:type="spellStart"/>
      <w:r w:rsidRPr="00C70DBF">
        <w:rPr>
          <w:rFonts w:ascii="Arial" w:eastAsia="Times New Roman" w:hAnsi="Arial" w:cs="Arial"/>
          <w:color w:val="000000"/>
          <w:szCs w:val="24"/>
        </w:rPr>
        <w:t>geogenic</w:t>
      </w:r>
      <w:proofErr w:type="spellEnd"/>
      <w:r w:rsidRPr="00C70DBF">
        <w:rPr>
          <w:rFonts w:ascii="Arial" w:eastAsia="Times New Roman" w:hAnsi="Arial" w:cs="Arial"/>
          <w:color w:val="000000"/>
          <w:szCs w:val="24"/>
        </w:rPr>
        <w:t xml:space="preserve"> background values. Most indices show only moderate contamination for different elements, particularly by Cr and </w:t>
      </w:r>
      <w:proofErr w:type="spellStart"/>
      <w:r w:rsidRPr="00C70DBF">
        <w:rPr>
          <w:rFonts w:ascii="Arial" w:eastAsia="Times New Roman" w:hAnsi="Arial" w:cs="Arial"/>
          <w:color w:val="000000"/>
          <w:szCs w:val="24"/>
        </w:rPr>
        <w:t>Pb</w:t>
      </w:r>
      <w:proofErr w:type="spellEnd"/>
      <w:r w:rsidRPr="00C70DBF">
        <w:rPr>
          <w:rFonts w:ascii="Arial" w:eastAsia="Times New Roman" w:hAnsi="Arial" w:cs="Arial"/>
          <w:color w:val="000000"/>
          <w:szCs w:val="24"/>
        </w:rPr>
        <w:t xml:space="preserve">. However, considering the historical land use impacts (such as discharge of untreated wastewater, intense agricultural practices, tanning operations, etc.), pollutant concentrations are lower than expected, presumably due to dilution by high sedimentation rates and tidal hydrodynamics. Nonetheless, heavy metal indices and SQG's indicate the ecological condition in the area is of </w:t>
      </w:r>
      <w:r w:rsidRPr="00C70DBF">
        <w:rPr>
          <w:rFonts w:ascii="Arial" w:eastAsia="Times New Roman" w:hAnsi="Arial" w:cs="Arial"/>
          <w:color w:val="000000"/>
          <w:szCs w:val="24"/>
        </w:rPr>
        <w:lastRenderedPageBreak/>
        <w:t>concern, particularly upstream as corroborated by high metal fluxes, highlighting severe impacts in the region.</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41" w:name="m_2889938815520070680__Toc519521667"/>
      <w:r w:rsidRPr="00C70DBF">
        <w:rPr>
          <w:rFonts w:ascii="Calibri" w:eastAsia="Times New Roman" w:hAnsi="Calibri" w:cs="Calibri"/>
          <w:b/>
          <w:bCs/>
          <w:color w:val="800000"/>
          <w:sz w:val="22"/>
        </w:rPr>
        <w:t xml:space="preserve">Metals and arsenic in sediment and fish from </w:t>
      </w:r>
      <w:proofErr w:type="spellStart"/>
      <w:r w:rsidRPr="00C70DBF">
        <w:rPr>
          <w:rFonts w:ascii="Calibri" w:eastAsia="Times New Roman" w:hAnsi="Calibri" w:cs="Calibri"/>
          <w:b/>
          <w:bCs/>
          <w:color w:val="800000"/>
          <w:sz w:val="22"/>
        </w:rPr>
        <w:t>Cau</w:t>
      </w:r>
      <w:proofErr w:type="spellEnd"/>
      <w:r w:rsidRPr="00C70DBF">
        <w:rPr>
          <w:rFonts w:ascii="Calibri" w:eastAsia="Times New Roman" w:hAnsi="Calibri" w:cs="Calibri"/>
          <w:b/>
          <w:bCs/>
          <w:color w:val="800000"/>
          <w:sz w:val="22"/>
        </w:rPr>
        <w:t xml:space="preserve"> Hai lagoon in Vietnam: Ecological and human health risks.</w:t>
      </w:r>
      <w:bookmarkEnd w:id="41"/>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Ai My Tran, Martine </w:t>
      </w:r>
      <w:proofErr w:type="spellStart"/>
      <w:r w:rsidRPr="00C70DBF">
        <w:rPr>
          <w:rFonts w:ascii="Arial" w:eastAsia="Times New Roman" w:hAnsi="Arial" w:cs="Arial"/>
          <w:color w:val="000000"/>
          <w:szCs w:val="24"/>
        </w:rPr>
        <w:t>Leermakers</w:t>
      </w:r>
      <w:proofErr w:type="spellEnd"/>
      <w:r w:rsidRPr="00C70DBF">
        <w:rPr>
          <w:rFonts w:ascii="Arial" w:eastAsia="Times New Roman" w:hAnsi="Arial" w:cs="Arial"/>
          <w:color w:val="000000"/>
          <w:szCs w:val="24"/>
        </w:rPr>
        <w:t xml:space="preserve">, Thai Long Hoang, Van Hop Nguyen and Marc </w:t>
      </w:r>
      <w:proofErr w:type="spellStart"/>
      <w:r w:rsidRPr="00C70DBF">
        <w:rPr>
          <w:rFonts w:ascii="Arial" w:eastAsia="Times New Roman" w:hAnsi="Arial" w:cs="Arial"/>
          <w:color w:val="000000"/>
          <w:szCs w:val="24"/>
        </w:rPr>
        <w:t>Elskens</w:t>
      </w:r>
      <w:proofErr w:type="spell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Chemosphere, 2018, volume 210, pp. 175-182.</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Concentrations of Al, As, Bi, Cd, Co, Cr, Cu, Fe, </w:t>
      </w:r>
      <w:proofErr w:type="spellStart"/>
      <w:r w:rsidRPr="00C70DBF">
        <w:rPr>
          <w:rFonts w:ascii="Arial" w:eastAsia="Times New Roman" w:hAnsi="Arial" w:cs="Arial"/>
          <w:color w:val="000000"/>
          <w:szCs w:val="24"/>
        </w:rPr>
        <w:t>Mn</w:t>
      </w:r>
      <w:proofErr w:type="spellEnd"/>
      <w:r w:rsidRPr="00C70DBF">
        <w:rPr>
          <w:rFonts w:ascii="Arial" w:eastAsia="Times New Roman" w:hAnsi="Arial" w:cs="Arial"/>
          <w:color w:val="000000"/>
          <w:szCs w:val="24"/>
        </w:rPr>
        <w:t xml:space="preserve">, Mo, Ni, </w:t>
      </w:r>
      <w:proofErr w:type="spellStart"/>
      <w:r w:rsidRPr="00C70DBF">
        <w:rPr>
          <w:rFonts w:ascii="Arial" w:eastAsia="Times New Roman" w:hAnsi="Arial" w:cs="Arial"/>
          <w:color w:val="000000"/>
          <w:szCs w:val="24"/>
        </w:rPr>
        <w:t>Pb</w:t>
      </w:r>
      <w:proofErr w:type="spellEnd"/>
      <w:r w:rsidRPr="00C70DBF">
        <w:rPr>
          <w:rFonts w:ascii="Arial" w:eastAsia="Times New Roman" w:hAnsi="Arial" w:cs="Arial"/>
          <w:color w:val="000000"/>
          <w:szCs w:val="24"/>
        </w:rPr>
        <w:t xml:space="preserve">, U, V and Zn were quantified in surface sediments collected from 13 different sampling sites from </w:t>
      </w:r>
      <w:proofErr w:type="spellStart"/>
      <w:r w:rsidRPr="00C70DBF">
        <w:rPr>
          <w:rFonts w:ascii="Arial" w:eastAsia="Times New Roman" w:hAnsi="Arial" w:cs="Arial"/>
          <w:color w:val="000000"/>
          <w:szCs w:val="24"/>
        </w:rPr>
        <w:t>Cau</w:t>
      </w:r>
      <w:proofErr w:type="spellEnd"/>
      <w:r w:rsidRPr="00C70DBF">
        <w:rPr>
          <w:rFonts w:ascii="Arial" w:eastAsia="Times New Roman" w:hAnsi="Arial" w:cs="Arial"/>
          <w:color w:val="000000"/>
          <w:szCs w:val="24"/>
        </w:rPr>
        <w:t xml:space="preserve"> Hai lagoon in Central Vietnam, and in 8 wild and farmed-fishes involving both pelagic and benthic species. Multivariate analysis shows that these trace elements are mainly associated with </w:t>
      </w:r>
      <w:proofErr w:type="spellStart"/>
      <w:r w:rsidRPr="00C70DBF">
        <w:rPr>
          <w:rFonts w:ascii="Arial" w:eastAsia="Times New Roman" w:hAnsi="Arial" w:cs="Arial"/>
          <w:color w:val="000000"/>
          <w:szCs w:val="24"/>
        </w:rPr>
        <w:t>lithogenic</w:t>
      </w:r>
      <w:proofErr w:type="spellEnd"/>
      <w:r w:rsidRPr="00C70DBF">
        <w:rPr>
          <w:rFonts w:ascii="Arial" w:eastAsia="Times New Roman" w:hAnsi="Arial" w:cs="Arial"/>
          <w:color w:val="000000"/>
          <w:szCs w:val="24"/>
        </w:rPr>
        <w:t xml:space="preserve"> matter, and are most likely the result of alteration and erosion processes in the lagoon. Enrichment factors and geo-accumulation indices reveal substantial sediment enrichments for both </w:t>
      </w:r>
      <w:proofErr w:type="gramStart"/>
      <w:r w:rsidRPr="00C70DBF">
        <w:rPr>
          <w:rFonts w:ascii="Arial" w:eastAsia="Times New Roman" w:hAnsi="Arial" w:cs="Arial"/>
          <w:color w:val="000000"/>
          <w:szCs w:val="24"/>
        </w:rPr>
        <w:t>As</w:t>
      </w:r>
      <w:proofErr w:type="gramEnd"/>
      <w:r w:rsidRPr="00C70DBF">
        <w:rPr>
          <w:rFonts w:ascii="Arial" w:eastAsia="Times New Roman" w:hAnsi="Arial" w:cs="Arial"/>
          <w:color w:val="000000"/>
          <w:szCs w:val="24"/>
        </w:rPr>
        <w:t xml:space="preserve"> and Bi with respect to the mean composition in the upper continental crust. </w:t>
      </w:r>
      <w:proofErr w:type="gramStart"/>
      <w:r w:rsidRPr="00C70DBF">
        <w:rPr>
          <w:rFonts w:ascii="Arial" w:eastAsia="Times New Roman" w:hAnsi="Arial" w:cs="Arial"/>
          <w:color w:val="000000"/>
          <w:szCs w:val="24"/>
        </w:rPr>
        <w:t>As is enriched in the edible portion of fish tissue with values up to 10 times higher than the allowed limits set up by Health Canada.</w:t>
      </w:r>
      <w:proofErr w:type="gramEnd"/>
      <w:r w:rsidRPr="00C70DBF">
        <w:rPr>
          <w:rFonts w:ascii="Arial" w:eastAsia="Times New Roman" w:hAnsi="Arial" w:cs="Arial"/>
          <w:color w:val="000000"/>
          <w:szCs w:val="24"/>
        </w:rPr>
        <w:t xml:space="preserve"> Target hazard quotient and target carcinogenic risk for </w:t>
      </w:r>
      <w:proofErr w:type="gramStart"/>
      <w:r w:rsidRPr="00C70DBF">
        <w:rPr>
          <w:rFonts w:ascii="Arial" w:eastAsia="Times New Roman" w:hAnsi="Arial" w:cs="Arial"/>
          <w:color w:val="000000"/>
          <w:szCs w:val="24"/>
        </w:rPr>
        <w:t>As</w:t>
      </w:r>
      <w:proofErr w:type="gramEnd"/>
      <w:r w:rsidRPr="00C70DBF">
        <w:rPr>
          <w:rFonts w:ascii="Arial" w:eastAsia="Times New Roman" w:hAnsi="Arial" w:cs="Arial"/>
          <w:color w:val="000000"/>
          <w:szCs w:val="24"/>
        </w:rPr>
        <w:t xml:space="preserve"> were assessed through fish diet and were greater than 1 and 10−4, respectively, indicating potential health risks for fish consumers in </w:t>
      </w:r>
      <w:proofErr w:type="spellStart"/>
      <w:r w:rsidRPr="00C70DBF">
        <w:rPr>
          <w:rFonts w:ascii="Arial" w:eastAsia="Times New Roman" w:hAnsi="Arial" w:cs="Arial"/>
          <w:color w:val="000000"/>
          <w:szCs w:val="24"/>
        </w:rPr>
        <w:t>Cau</w:t>
      </w:r>
      <w:proofErr w:type="spellEnd"/>
      <w:r w:rsidRPr="00C70DBF">
        <w:rPr>
          <w:rFonts w:ascii="Arial" w:eastAsia="Times New Roman" w:hAnsi="Arial" w:cs="Arial"/>
          <w:color w:val="000000"/>
          <w:szCs w:val="24"/>
        </w:rPr>
        <w:t xml:space="preserve"> Hai lagoon.</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27"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42" w:name="m_2889938815520070680__Toc519521668"/>
      <w:proofErr w:type="gramStart"/>
      <w:r w:rsidRPr="00C70DBF">
        <w:rPr>
          <w:rFonts w:ascii="Calibri" w:eastAsia="Times New Roman" w:hAnsi="Calibri" w:cs="Calibri"/>
          <w:b/>
          <w:bCs/>
          <w:color w:val="800000"/>
          <w:sz w:val="22"/>
        </w:rPr>
        <w:t>Understanding the Stakeholders’ Involvement in Utilizing Municipal Solid Waste in Agriculture through Composting: A Case Study of Hanoi, Vietnam.</w:t>
      </w:r>
      <w:bookmarkEnd w:id="42"/>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Nam </w:t>
      </w:r>
      <w:proofErr w:type="spellStart"/>
      <w:r w:rsidRPr="00C70DBF">
        <w:rPr>
          <w:rFonts w:ascii="Arial" w:eastAsia="Times New Roman" w:hAnsi="Arial" w:cs="Arial"/>
          <w:color w:val="000000"/>
          <w:szCs w:val="24"/>
        </w:rPr>
        <w:t>Phong</w:t>
      </w:r>
      <w:proofErr w:type="spellEnd"/>
      <w:r w:rsidRPr="00C70DBF">
        <w:rPr>
          <w:rFonts w:ascii="Arial" w:eastAsia="Times New Roman" w:hAnsi="Arial" w:cs="Arial"/>
          <w:color w:val="000000"/>
          <w:szCs w:val="24"/>
        </w:rPr>
        <w:t xml:space="preserve"> Le,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Thu Phuong Nguyen and </w:t>
      </w:r>
      <w:proofErr w:type="spellStart"/>
      <w:r w:rsidRPr="00C70DBF">
        <w:rPr>
          <w:rFonts w:ascii="Arial" w:eastAsia="Times New Roman" w:hAnsi="Arial" w:cs="Arial"/>
          <w:color w:val="000000"/>
          <w:szCs w:val="24"/>
        </w:rPr>
        <w:t>Dajian</w:t>
      </w:r>
      <w:proofErr w:type="spellEnd"/>
      <w:r w:rsidRPr="00C70DBF">
        <w:rPr>
          <w:rFonts w:ascii="Arial" w:eastAsia="Times New Roman" w:hAnsi="Arial" w:cs="Arial"/>
          <w:color w:val="000000"/>
          <w:szCs w:val="24"/>
        </w:rPr>
        <w:t xml:space="preserve"> Zhu.</w:t>
      </w:r>
      <w:proofErr w:type="gramEnd"/>
      <w:r w:rsidRPr="00C70DBF">
        <w:rPr>
          <w:rFonts w:ascii="Arial" w:eastAsia="Times New Roman" w:hAnsi="Arial" w:cs="Arial"/>
          <w:color w:val="000000"/>
          <w:szCs w:val="24"/>
        </w:rPr>
        <w:t xml:space="preserve"> Sustainability, 2018, volume 10, number 7.</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28" w:tgtFrame="_blank" w:history="1">
        <w:r w:rsidRPr="00C70DBF">
          <w:rPr>
            <w:rFonts w:ascii="Arial" w:eastAsia="Times New Roman" w:hAnsi="Arial" w:cs="Arial"/>
            <w:color w:val="1155CC"/>
            <w:szCs w:val="24"/>
            <w:u w:val="single"/>
          </w:rPr>
          <w:t>https://ideas.repec.org/a/gam/jsusta/v10y2018i7p2314-d156202.html</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Although the involvement of stakeholders is believed to be the key to the success of sustainable municipal waste management, the specific features of stakeholders, as well as their interdependence, have been under-researched. This study employed a multilevel governance approach to understand the manner in which different types of stakeholder networks interact with one another and how their roles should be reinforced. A combination of stakeholder analysis (SA) and social network </w:t>
      </w:r>
      <w:r w:rsidRPr="00C70DBF">
        <w:rPr>
          <w:rFonts w:ascii="Arial" w:eastAsia="Times New Roman" w:hAnsi="Arial" w:cs="Arial"/>
          <w:color w:val="000000"/>
          <w:szCs w:val="24"/>
        </w:rPr>
        <w:lastRenderedPageBreak/>
        <w:t>analysis (SNA) was employed to investigate the perspective of stakeholders in utilizing municipal solid waste (MSW) in agriculture in Hanoi, Vietnam. SA indicated that the local authorities take the main responsibility for the management of MSW in Hanoi. Although other stakeholders express a significant interest in recycling MSW through composting, many of them do not have sufficient power to make any changes to the current system. SNA revealed the fragmentation of the network, as the coordination among the stakeholders is dominated by hierarchical governance, while there is a lack of horizontal cooperation among the sectors. The fragmentation could be attributed to weak legislative framework, lack of trust, financial constraints, and the limited participation of private enterprises. The governance of MSW use in agriculture should be executed through interdependency rather than hierarchy and through a network comprising both state and non-state actors.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43" w:name="m_2889938815520070680__Toc519521669"/>
      <w:r w:rsidRPr="00C70DBF">
        <w:rPr>
          <w:rFonts w:ascii="Calibri" w:eastAsia="Times New Roman" w:hAnsi="Calibri" w:cs="Calibri"/>
          <w:b/>
          <w:bCs/>
          <w:color w:val="800000"/>
          <w:sz w:val="22"/>
        </w:rPr>
        <w:t>The challenges and conservation implications of bear bile farming in Viet Nam.</w:t>
      </w:r>
      <w:bookmarkEnd w:id="43"/>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Brian </w:t>
      </w:r>
      <w:proofErr w:type="spellStart"/>
      <w:r w:rsidRPr="00C70DBF">
        <w:rPr>
          <w:rFonts w:ascii="Arial" w:eastAsia="Times New Roman" w:hAnsi="Arial" w:cs="Arial"/>
          <w:color w:val="000000"/>
          <w:szCs w:val="24"/>
        </w:rPr>
        <w:t>Crudge</w:t>
      </w:r>
      <w:proofErr w:type="spellEnd"/>
      <w:r w:rsidRPr="00C70DBF">
        <w:rPr>
          <w:rFonts w:ascii="Arial" w:eastAsia="Times New Roman" w:hAnsi="Arial" w:cs="Arial"/>
          <w:color w:val="000000"/>
          <w:szCs w:val="24"/>
        </w:rPr>
        <w:t xml:space="preserve">, Trang Nguyen and Tien </w:t>
      </w:r>
      <w:proofErr w:type="spellStart"/>
      <w:r w:rsidRPr="00C70DBF">
        <w:rPr>
          <w:rFonts w:ascii="Arial" w:eastAsia="Times New Roman" w:hAnsi="Arial" w:cs="Arial"/>
          <w:color w:val="000000"/>
          <w:szCs w:val="24"/>
        </w:rPr>
        <w:t>Trung</w:t>
      </w:r>
      <w:proofErr w:type="spellEnd"/>
      <w:r w:rsidRPr="00C70DBF">
        <w:rPr>
          <w:rFonts w:ascii="Arial" w:eastAsia="Times New Roman" w:hAnsi="Arial" w:cs="Arial"/>
          <w:color w:val="000000"/>
          <w:szCs w:val="24"/>
        </w:rPr>
        <w:t xml:space="preserve"> Cao.</w:t>
      </w:r>
      <w:proofErr w:type="gramEnd"/>
      <w:r w:rsidRPr="00C70DBF">
        <w:rPr>
          <w:rFonts w:ascii="Arial" w:eastAsia="Times New Roman" w:hAnsi="Arial" w:cs="Arial"/>
          <w:color w:val="000000"/>
          <w:szCs w:val="24"/>
        </w:rPr>
        <w:t xml:space="preserve"> Oryx, 2018, pp. 1-8.</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Legalized trade in commercially farmed wildlife products is sometimes promoted as a conservation strategy. In theory, flooding the market with cheaper or better quality products will decrease the profitability of poaching. Bear bile is highly sought-after for use in traditional medicine and overhunting to supply the demand for bear parts has led to declining populations across South-east Asia. Bear bile farming was established to help supply the high demand for bear bile. In Viet Nam it is legal to keep registered bears, but illegal to extract or sell bear bile. We conducted semi-structured interviews with 66 bear bile farmers in Viet Nam to examine the conservation implications of bear bile farming. The results show that demand for wild bear bile was not satisfied by the widespread availability of farmed bear bile. Farmers report a strong consumer preference and willingness to pay more for wild-sourced products. The existence of bear bile farms presents considerable challenges to law enforcement. The results suggest that bear bile farming in Viet Nam relies on restocking from wild populations, and farmers openly admit to extracting and selling bear bile, in clear violation of national legislation. The case of bear bile farming in Viet Nam provides an example of wildlife farming failing to reduce pressure on a once widely distributed and relatively abundant species. Research into consumer values, attitudes and </w:t>
      </w:r>
      <w:proofErr w:type="spellStart"/>
      <w:r w:rsidRPr="00C70DBF">
        <w:rPr>
          <w:rFonts w:ascii="Arial" w:eastAsia="Times New Roman" w:hAnsi="Arial" w:cs="Arial"/>
          <w:color w:val="000000"/>
          <w:szCs w:val="24"/>
        </w:rPr>
        <w:t>behaviours</w:t>
      </w:r>
      <w:proofErr w:type="spellEnd"/>
      <w:r w:rsidRPr="00C70DBF">
        <w:rPr>
          <w:rFonts w:ascii="Arial" w:eastAsia="Times New Roman" w:hAnsi="Arial" w:cs="Arial"/>
          <w:color w:val="000000"/>
          <w:szCs w:val="24"/>
        </w:rPr>
        <w:t xml:space="preserve"> will help to improve understanding of market drivers and help inform the design of effective species conservation and management strategies.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29"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44" w:name="m_2889938815520070680__Toc519521670"/>
      <w:r w:rsidRPr="00C70DBF">
        <w:rPr>
          <w:rFonts w:ascii="Arial" w:eastAsia="Times New Roman" w:hAnsi="Arial" w:cs="Arial"/>
          <w:b/>
          <w:bCs/>
          <w:color w:val="FFFFFF"/>
          <w:kern w:val="36"/>
          <w:sz w:val="48"/>
          <w:szCs w:val="48"/>
        </w:rPr>
        <w:lastRenderedPageBreak/>
        <w:t>GOVERNANCE</w:t>
      </w:r>
      <w:bookmarkEnd w:id="44"/>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45" w:name="m_2889938815520070680__Toc519521671"/>
      <w:r w:rsidRPr="00C70DBF">
        <w:rPr>
          <w:rFonts w:ascii="Calibri" w:eastAsia="Times New Roman" w:hAnsi="Calibri" w:cs="Calibri"/>
          <w:b/>
          <w:bCs/>
          <w:color w:val="800000"/>
          <w:sz w:val="22"/>
        </w:rPr>
        <w:t>Two stories: the emergence of the Vietnamese social media.</w:t>
      </w:r>
      <w:bookmarkEnd w:id="45"/>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Viet T. Le.</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Media International Australia.</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Should social media be constructed as a Trojan horse (as its detractors fear) or the Flame of Prometheus (as its proponents argue)? Social media take-up in Vietnam arouses both hope and </w:t>
      </w:r>
      <w:proofErr w:type="spellStart"/>
      <w:r w:rsidRPr="00C70DBF">
        <w:rPr>
          <w:rFonts w:ascii="Arial" w:eastAsia="Times New Roman" w:hAnsi="Arial" w:cs="Arial"/>
          <w:color w:val="000000"/>
          <w:szCs w:val="24"/>
        </w:rPr>
        <w:t>scepticism</w:t>
      </w:r>
      <w:proofErr w:type="spellEnd"/>
      <w:r w:rsidRPr="00C70DBF">
        <w:rPr>
          <w:rFonts w:ascii="Arial" w:eastAsia="Times New Roman" w:hAnsi="Arial" w:cs="Arial"/>
          <w:color w:val="000000"/>
          <w:szCs w:val="24"/>
        </w:rPr>
        <w:t>, and becomes an innovative tool for critical matters. This article examines the blogosphere in Vietnam through a comparative study of the Vietnamese blogosphere and state media. The research found that while state media operate as a voice of the agents of the state, social media provide a means to capture the voice of the community and to participate in public discussion through commentary to posts, as well as a platform for those who want to speak out. As a result, there is a tension between the reporting of general information and the voice of state agencies in state media. The ‘two stories’ that emerge in some political and social issues are told through different approaches and perspectives.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46" w:name="m_2889938815520070680__Toc519521672"/>
      <w:r w:rsidRPr="00C70DBF">
        <w:rPr>
          <w:rFonts w:ascii="Calibri" w:eastAsia="Times New Roman" w:hAnsi="Calibri" w:cs="Calibri"/>
          <w:b/>
          <w:bCs/>
          <w:color w:val="800000"/>
          <w:sz w:val="22"/>
        </w:rPr>
        <w:t>Money laundering risk from emerging markets: the case of Vietnam.</w:t>
      </w:r>
      <w:bookmarkEnd w:id="46"/>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Nguyen Ba Ba-Hung and Tran Ha </w:t>
      </w:r>
      <w:proofErr w:type="spellStart"/>
      <w:r w:rsidRPr="00C70DBF">
        <w:rPr>
          <w:rFonts w:ascii="Arial" w:eastAsia="Times New Roman" w:hAnsi="Arial" w:cs="Arial"/>
          <w:color w:val="000000"/>
          <w:szCs w:val="24"/>
        </w:rPr>
        <w:t>Bao</w:t>
      </w:r>
      <w:proofErr w:type="spellEnd"/>
      <w:r w:rsidRPr="00C70DBF">
        <w:rPr>
          <w:rFonts w:ascii="Arial" w:eastAsia="Times New Roman" w:hAnsi="Arial" w:cs="Arial"/>
          <w:color w:val="000000"/>
          <w:szCs w:val="24"/>
        </w:rPr>
        <w:t xml:space="preserve"> Huynh.</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Journal of Money Laundering Control,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Purpose: This paper apply the framework Christopher Price 2008 and HSBC Money Laundering Risk Procedures 2016 ; with the purpose of estimating the risk contribution for each individual customer in Vietnamese banking system, mainly through the information from the survey in South East region in Vietnam in general and Ho Chi Minh city in specific. --- Design/methodology/approach: Based on the collected data from the survey, the Money Laundering Risk Score (MLRS) is calculated for each customer who is using the services and products of Vietnamese commercial banks by the enhanced measurement model of Christopher Price. </w:t>
      </w:r>
      <w:proofErr w:type="gramStart"/>
      <w:r w:rsidRPr="00C70DBF">
        <w:rPr>
          <w:rFonts w:ascii="Arial" w:eastAsia="Times New Roman" w:hAnsi="Arial" w:cs="Arial"/>
          <w:color w:val="000000"/>
          <w:szCs w:val="24"/>
        </w:rPr>
        <w:t>Considering the factors that could impact to MLRS and the ordinary least squares and 3 variations of logistic regression model.</w:t>
      </w:r>
      <w:proofErr w:type="gramEnd"/>
      <w:r w:rsidRPr="00C70DBF">
        <w:rPr>
          <w:rFonts w:ascii="Arial" w:eastAsia="Times New Roman" w:hAnsi="Arial" w:cs="Arial"/>
          <w:color w:val="000000"/>
          <w:szCs w:val="24"/>
        </w:rPr>
        <w:t xml:space="preserve"> --- Findings: </w:t>
      </w:r>
      <w:proofErr w:type="gramStart"/>
      <w:r w:rsidRPr="00C70DBF">
        <w:rPr>
          <w:rFonts w:ascii="Arial" w:eastAsia="Times New Roman" w:hAnsi="Arial" w:cs="Arial"/>
          <w:color w:val="000000"/>
          <w:szCs w:val="24"/>
        </w:rPr>
        <w:t>This paper proposes an appropriate estimation of the money laundering risk for personal customer and find</w:t>
      </w:r>
      <w:proofErr w:type="gramEnd"/>
      <w:r w:rsidRPr="00C70DBF">
        <w:rPr>
          <w:rFonts w:ascii="Arial" w:eastAsia="Times New Roman" w:hAnsi="Arial" w:cs="Arial"/>
          <w:color w:val="000000"/>
          <w:szCs w:val="24"/>
        </w:rPr>
        <w:t xml:space="preserve"> the most significant factors that affects MLR; propose an approach that we can explain the degree to which a factor contribute to our customer Money Laundering Risk’s profile and suggest some practical recommendations for commercial banking system. --- Practical implications: This study suggests an intuitive method to estimate the contribution of each customer factor on their Money Laundering Risk Score. --- Originality/value: The higher respondent’s group </w:t>
      </w:r>
      <w:r w:rsidRPr="00C70DBF">
        <w:rPr>
          <w:rFonts w:ascii="Arial" w:eastAsia="Times New Roman" w:hAnsi="Arial" w:cs="Arial"/>
          <w:color w:val="000000"/>
          <w:szCs w:val="24"/>
        </w:rPr>
        <w:lastRenderedPageBreak/>
        <w:t xml:space="preserve">of age lead to the higher money laundering risk occurred in the financial market. Follow the works of </w:t>
      </w:r>
      <w:proofErr w:type="spellStart"/>
      <w:r w:rsidRPr="00C70DBF">
        <w:rPr>
          <w:rFonts w:ascii="Arial" w:eastAsia="Times New Roman" w:hAnsi="Arial" w:cs="Arial"/>
          <w:color w:val="000000"/>
          <w:szCs w:val="24"/>
        </w:rPr>
        <w:t>Wolfsberg</w:t>
      </w:r>
      <w:proofErr w:type="spellEnd"/>
      <w:r w:rsidRPr="00C70DBF">
        <w:rPr>
          <w:rFonts w:ascii="Arial" w:eastAsia="Times New Roman" w:hAnsi="Arial" w:cs="Arial"/>
          <w:color w:val="000000"/>
          <w:szCs w:val="24"/>
        </w:rPr>
        <w:t xml:space="preserve"> et al. 2006, </w:t>
      </w:r>
      <w:proofErr w:type="spellStart"/>
      <w:r w:rsidRPr="00C70DBF">
        <w:rPr>
          <w:rFonts w:ascii="Arial" w:eastAsia="Times New Roman" w:hAnsi="Arial" w:cs="Arial"/>
          <w:color w:val="000000"/>
          <w:szCs w:val="24"/>
        </w:rPr>
        <w:t>Sathan</w:t>
      </w:r>
      <w:proofErr w:type="spellEnd"/>
      <w:r w:rsidRPr="00C70DBF">
        <w:rPr>
          <w:rFonts w:ascii="Arial" w:eastAsia="Times New Roman" w:hAnsi="Arial" w:cs="Arial"/>
          <w:color w:val="000000"/>
          <w:szCs w:val="24"/>
        </w:rPr>
        <w:t xml:space="preserve"> and </w:t>
      </w:r>
      <w:proofErr w:type="spellStart"/>
      <w:r w:rsidRPr="00C70DBF">
        <w:rPr>
          <w:rFonts w:ascii="Arial" w:eastAsia="Times New Roman" w:hAnsi="Arial" w:cs="Arial"/>
          <w:color w:val="000000"/>
          <w:szCs w:val="24"/>
        </w:rPr>
        <w:t>Mahendhiran</w:t>
      </w:r>
      <w:proofErr w:type="spellEnd"/>
      <w:r w:rsidRPr="00C70DBF">
        <w:rPr>
          <w:rFonts w:ascii="Arial" w:eastAsia="Times New Roman" w:hAnsi="Arial" w:cs="Arial"/>
          <w:color w:val="000000"/>
          <w:szCs w:val="24"/>
        </w:rPr>
        <w:t xml:space="preserve"> 2007, </w:t>
      </w:r>
      <w:proofErr w:type="spellStart"/>
      <w:r w:rsidRPr="00C70DBF">
        <w:rPr>
          <w:rFonts w:ascii="Arial" w:eastAsia="Times New Roman" w:hAnsi="Arial" w:cs="Arial"/>
          <w:color w:val="000000"/>
          <w:szCs w:val="24"/>
        </w:rPr>
        <w:t>Muhammaz</w:t>
      </w:r>
      <w:proofErr w:type="spellEnd"/>
      <w:r w:rsidRPr="00C70DBF">
        <w:rPr>
          <w:rFonts w:ascii="Arial" w:eastAsia="Times New Roman" w:hAnsi="Arial" w:cs="Arial"/>
          <w:color w:val="000000"/>
          <w:szCs w:val="24"/>
        </w:rPr>
        <w:t xml:space="preserve"> 2014 and Filippo and Maria 2017, this study also confirms negative relationship between money laundering risk with the respondent’s group of salary and the academic level. This indicated that the lower amount of money the respondents earn and lower academic level they were, the higher degree money laundering risk.</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47" w:name="m_2889938815520070680__Toc519521673"/>
      <w:r w:rsidRPr="00C70DBF">
        <w:rPr>
          <w:rFonts w:ascii="Calibri" w:eastAsia="Times New Roman" w:hAnsi="Calibri" w:cs="Calibri"/>
          <w:b/>
          <w:bCs/>
          <w:color w:val="800000"/>
          <w:sz w:val="22"/>
        </w:rPr>
        <w:t>From Revolution to Evolution: The Changing Meanings of Socialist Land in Vietnam.</w:t>
      </w:r>
      <w:bookmarkEnd w:id="47"/>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John Gillespie and </w:t>
      </w:r>
      <w:proofErr w:type="spellStart"/>
      <w:r w:rsidRPr="00C70DBF">
        <w:rPr>
          <w:rFonts w:ascii="Arial" w:eastAsia="Times New Roman" w:hAnsi="Arial" w:cs="Arial"/>
          <w:color w:val="000000"/>
          <w:szCs w:val="24"/>
        </w:rPr>
        <w:t>Toan</w:t>
      </w:r>
      <w:proofErr w:type="spellEnd"/>
      <w:r w:rsidRPr="00C70DBF">
        <w:rPr>
          <w:rFonts w:ascii="Arial" w:eastAsia="Times New Roman" w:hAnsi="Arial" w:cs="Arial"/>
          <w:color w:val="000000"/>
          <w:szCs w:val="24"/>
        </w:rPr>
        <w:t xml:space="preserve"> Le.</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in</w:t>
      </w:r>
      <w:proofErr w:type="gramEnd"/>
      <w:r w:rsidRPr="00C70DBF">
        <w:rPr>
          <w:rFonts w:ascii="Arial" w:eastAsia="Times New Roman" w:hAnsi="Arial" w:cs="Arial"/>
          <w:color w:val="000000"/>
          <w:szCs w:val="24"/>
        </w:rPr>
        <w:t>: Social Law in Socialist Asia, Cambridge University Press, 2018, pp. 406-28.</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Given Vietnam’s history of land revolution, it is unsurprising that the socialist trope of people’s ownership of land has laid down deep roots. According to the communist party’s foundational mythology, the revolution was fought to secure ‘land for farmers’ (</w:t>
      </w:r>
      <w:proofErr w:type="spellStart"/>
      <w:r w:rsidRPr="00C70DBF">
        <w:rPr>
          <w:rFonts w:ascii="Arial" w:eastAsia="Times New Roman" w:hAnsi="Arial" w:cs="Arial"/>
          <w:color w:val="000000"/>
          <w:szCs w:val="24"/>
        </w:rPr>
        <w:t>ruộng</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cho</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dân</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cầy</w:t>
      </w:r>
      <w:proofErr w:type="spellEnd"/>
      <w:r w:rsidRPr="00C70DBF">
        <w:rPr>
          <w:rFonts w:ascii="Arial" w:eastAsia="Times New Roman" w:hAnsi="Arial" w:cs="Arial"/>
          <w:color w:val="000000"/>
          <w:szCs w:val="24"/>
        </w:rPr>
        <w:t xml:space="preserve">). From the 1980s onward, internal and external forces have compelled reluctant party leaders to selectively </w:t>
      </w:r>
      <w:proofErr w:type="spellStart"/>
      <w:r w:rsidRPr="00C70DBF">
        <w:rPr>
          <w:rFonts w:ascii="Arial" w:eastAsia="Times New Roman" w:hAnsi="Arial" w:cs="Arial"/>
          <w:color w:val="000000"/>
          <w:szCs w:val="24"/>
        </w:rPr>
        <w:t>recognise</w:t>
      </w:r>
      <w:proofErr w:type="spellEnd"/>
      <w:r w:rsidRPr="00C70DBF">
        <w:rPr>
          <w:rFonts w:ascii="Arial" w:eastAsia="Times New Roman" w:hAnsi="Arial" w:cs="Arial"/>
          <w:color w:val="000000"/>
          <w:szCs w:val="24"/>
        </w:rPr>
        <w:t xml:space="preserve"> private rights to land. This chapter explores how these forces have shaped communist party thinking and concludes by speculating about the future of land ownership.</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30"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48" w:name="m_2889938815520070680__Toc519521674"/>
      <w:r w:rsidRPr="00C70DBF">
        <w:rPr>
          <w:rFonts w:ascii="Arial" w:eastAsia="Times New Roman" w:hAnsi="Arial" w:cs="Arial"/>
          <w:b/>
          <w:bCs/>
          <w:color w:val="FFFFFF"/>
          <w:kern w:val="36"/>
          <w:sz w:val="48"/>
          <w:szCs w:val="48"/>
        </w:rPr>
        <w:t>HEALTH CARE</w:t>
      </w:r>
      <w:bookmarkEnd w:id="48"/>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49" w:name="m_2889938815520070680__Toc519521675"/>
      <w:r w:rsidRPr="00C70DBF">
        <w:rPr>
          <w:rFonts w:ascii="Calibri" w:eastAsia="Times New Roman" w:hAnsi="Calibri" w:cs="Calibri"/>
          <w:b/>
          <w:bCs/>
          <w:color w:val="800000"/>
          <w:sz w:val="22"/>
        </w:rPr>
        <w:t>Technical Efficiency of Public and Private Hospitals in Vietnam: Do Market-Oriented Policies Matter?</w:t>
      </w:r>
      <w:bookmarkEnd w:id="49"/>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Hideaki </w:t>
      </w:r>
      <w:proofErr w:type="spellStart"/>
      <w:r w:rsidRPr="00C70DBF">
        <w:rPr>
          <w:rFonts w:ascii="Arial" w:eastAsia="Times New Roman" w:hAnsi="Arial" w:cs="Arial"/>
          <w:color w:val="000000"/>
          <w:szCs w:val="24"/>
        </w:rPr>
        <w:t>Kitaki</w:t>
      </w:r>
      <w:proofErr w:type="spellEnd"/>
      <w:r w:rsidRPr="00C70DBF">
        <w:rPr>
          <w:rFonts w:ascii="Arial" w:eastAsia="Times New Roman" w:hAnsi="Arial" w:cs="Arial"/>
          <w:color w:val="000000"/>
          <w:szCs w:val="24"/>
        </w:rPr>
        <w:t>. JICA Research Institute Working paper no. 163, 2018.</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31" w:tgtFrame="_blank" w:history="1">
        <w:r w:rsidRPr="00C70DBF">
          <w:rPr>
            <w:rFonts w:ascii="Arial" w:eastAsia="Times New Roman" w:hAnsi="Arial" w:cs="Arial"/>
            <w:color w:val="1155CC"/>
            <w:szCs w:val="24"/>
            <w:u w:val="single"/>
          </w:rPr>
          <w:t>https://jicari.repo.nii.ac.jp/?action=pages_view_main&amp;active_action=repository_view_main_item_detail&amp;item_id=862&amp;item_no=1&amp;page_id=13&amp;block_id=21</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study examined how ownership and the degree of competition in the market were related to pure technical efficiency, using micro-level hospital data from six regions in Vietnam that were collected by an original survey. According to the results, the provincial hospitals have significantly higher efficiency than the district hospitals, </w:t>
      </w:r>
      <w:r w:rsidRPr="00C70DBF">
        <w:rPr>
          <w:rFonts w:ascii="Arial" w:eastAsia="Times New Roman" w:hAnsi="Arial" w:cs="Arial"/>
          <w:color w:val="000000"/>
          <w:szCs w:val="24"/>
        </w:rPr>
        <w:lastRenderedPageBreak/>
        <w:t>while the private hospitals have significantly lower efficiency than the district hospitals. Moreover, the number of competing hospitals has a statistically significant negative correlation with the efficiency of the hospitals, and so does the number of competing private hospitals. On the other hand, the degree of concentration in the market has no significant correlation with efficiency. Those results may imply that competition raises problems with resource allocation among the hospitals in Vietnam.</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0" w:name="m_2889938815520070680__Toc519521676"/>
      <w:proofErr w:type="gramStart"/>
      <w:r w:rsidRPr="00C70DBF">
        <w:rPr>
          <w:rFonts w:ascii="Calibri" w:eastAsia="Times New Roman" w:hAnsi="Calibri" w:cs="Calibri"/>
          <w:b/>
          <w:bCs/>
          <w:color w:val="800000"/>
          <w:sz w:val="22"/>
        </w:rPr>
        <w:t>Waiting time in the outpatient clinic at a national hospital in Vietnam.</w:t>
      </w:r>
      <w:bookmarkEnd w:id="50"/>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r w:rsidRPr="00C70DBF">
        <w:rPr>
          <w:rFonts w:ascii="Arial" w:eastAsia="Times New Roman" w:hAnsi="Arial" w:cs="Arial"/>
          <w:color w:val="000000"/>
          <w:szCs w:val="24"/>
        </w:rPr>
        <w:t>Suong</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Thao Nguyen, </w:t>
      </w:r>
      <w:proofErr w:type="spellStart"/>
      <w:r w:rsidRPr="00C70DBF">
        <w:rPr>
          <w:rFonts w:ascii="Arial" w:eastAsia="Times New Roman" w:hAnsi="Arial" w:cs="Arial"/>
          <w:color w:val="000000"/>
          <w:szCs w:val="24"/>
        </w:rPr>
        <w:t>Eiko</w:t>
      </w:r>
      <w:proofErr w:type="spellEnd"/>
      <w:r w:rsidRPr="00C70DBF">
        <w:rPr>
          <w:rFonts w:ascii="Arial" w:eastAsia="Times New Roman" w:hAnsi="Arial" w:cs="Arial"/>
          <w:color w:val="000000"/>
          <w:szCs w:val="24"/>
        </w:rPr>
        <w:t xml:space="preserve"> Yamamoto, Mai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Ngoc Nguyen, </w:t>
      </w:r>
      <w:proofErr w:type="spellStart"/>
      <w:r w:rsidRPr="00C70DBF">
        <w:rPr>
          <w:rFonts w:ascii="Arial" w:eastAsia="Times New Roman" w:hAnsi="Arial" w:cs="Arial"/>
          <w:color w:val="000000"/>
          <w:szCs w:val="24"/>
        </w:rPr>
        <w:t>Huy</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Bao</w:t>
      </w:r>
      <w:proofErr w:type="spellEnd"/>
      <w:r w:rsidRPr="00C70DBF">
        <w:rPr>
          <w:rFonts w:ascii="Arial" w:eastAsia="Times New Roman" w:hAnsi="Arial" w:cs="Arial"/>
          <w:color w:val="000000"/>
          <w:szCs w:val="24"/>
        </w:rPr>
        <w:t xml:space="preserve"> Le, </w:t>
      </w:r>
      <w:proofErr w:type="spellStart"/>
      <w:r w:rsidRPr="00C70DBF">
        <w:rPr>
          <w:rFonts w:ascii="Arial" w:eastAsia="Times New Roman" w:hAnsi="Arial" w:cs="Arial"/>
          <w:color w:val="000000"/>
          <w:szCs w:val="24"/>
        </w:rPr>
        <w:t>Tetsuyoshi</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Kariya</w:t>
      </w:r>
      <w:proofErr w:type="spellEnd"/>
      <w:r w:rsidRPr="00C70DBF">
        <w:rPr>
          <w:rFonts w:ascii="Arial" w:eastAsia="Times New Roman" w:hAnsi="Arial" w:cs="Arial"/>
          <w:color w:val="000000"/>
          <w:szCs w:val="24"/>
        </w:rPr>
        <w:t xml:space="preserve"> and others. Nagoya Journal of Medical Science, 2018, volume 80, number 2, pp. 227-239.</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32" w:tgtFrame="_blank" w:history="1">
        <w:r w:rsidRPr="00C70DBF">
          <w:rPr>
            <w:rFonts w:ascii="Arial" w:eastAsia="Times New Roman" w:hAnsi="Arial" w:cs="Arial"/>
            <w:color w:val="1155CC"/>
            <w:szCs w:val="24"/>
            <w:u w:val="single"/>
          </w:rPr>
          <w:t>http://www.ncbi.nlm.nih.gov/pmc/articles/PMC5995730/</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Vietnam is facing a problem of over-crowding in public hospitals. Long waiting time is a major dissatisfaction for patients. Reducing waiting time benefits not only patients but also hospitals in decreasing overall workload. To identify factors contributing to long waiting time in outpatient clinics, a cross-sectional study was conducted at a national hospital in Vietnam. The time for each process of 7,931 patients who visited the outpatient clinics within Thong </w:t>
      </w:r>
      <w:proofErr w:type="spellStart"/>
      <w:r w:rsidRPr="00C70DBF">
        <w:rPr>
          <w:rFonts w:ascii="Arial" w:eastAsia="Times New Roman" w:hAnsi="Arial" w:cs="Arial"/>
          <w:color w:val="000000"/>
          <w:szCs w:val="24"/>
        </w:rPr>
        <w:t>Nhat</w:t>
      </w:r>
      <w:proofErr w:type="spellEnd"/>
      <w:r w:rsidRPr="00C70DBF">
        <w:rPr>
          <w:rFonts w:ascii="Arial" w:eastAsia="Times New Roman" w:hAnsi="Arial" w:cs="Arial"/>
          <w:color w:val="000000"/>
          <w:szCs w:val="24"/>
        </w:rPr>
        <w:t xml:space="preserve"> Hospital from 5 to 9 September 2016 was collected from the computerized clinical database. Characteristics of patients (age, sex, </w:t>
      </w:r>
      <w:proofErr w:type="gramStart"/>
      <w:r w:rsidRPr="00C70DBF">
        <w:rPr>
          <w:rFonts w:ascii="Arial" w:eastAsia="Times New Roman" w:hAnsi="Arial" w:cs="Arial"/>
          <w:color w:val="000000"/>
          <w:szCs w:val="24"/>
        </w:rPr>
        <w:t>address</w:t>
      </w:r>
      <w:proofErr w:type="gramEnd"/>
      <w:r w:rsidRPr="00C70DBF">
        <w:rPr>
          <w:rFonts w:ascii="Arial" w:eastAsia="Times New Roman" w:hAnsi="Arial" w:cs="Arial"/>
          <w:color w:val="000000"/>
          <w:szCs w:val="24"/>
        </w:rPr>
        <w:t xml:space="preserve">, day of visit, registration time, visited department and test) and waiting times were studied at the outcome measures. Multivariate analyses using the linear regression model was carried out to evaluate the contribution of these factors to the total waiting time. Among 7,931 patients, 52.3% were women, 46.3% were 60–80 years, and 64.8% registered between 5:30 and 9:30. The mean total waiting time was 104.1 minutes. The analysis on total waiting time among 4,564 patients who visited one department without any test showed that department group and registration time were significantly associated with a total waiting time. In 1,259 patients who visited one department with one test, early registration and undergoing blood tests were significantly associated with a longer total waiting time. These results showed that old age, visiting internal medicine departments, early registration time, and undergoing blood tests were factors contributing to a longer total waiting time in the outpatient clinics within Thong </w:t>
      </w:r>
      <w:proofErr w:type="spellStart"/>
      <w:r w:rsidRPr="00C70DBF">
        <w:rPr>
          <w:rFonts w:ascii="Arial" w:eastAsia="Times New Roman" w:hAnsi="Arial" w:cs="Arial"/>
          <w:color w:val="000000"/>
          <w:szCs w:val="24"/>
        </w:rPr>
        <w:t>Nhat</w:t>
      </w:r>
      <w:proofErr w:type="spellEnd"/>
      <w:r w:rsidRPr="00C70DBF">
        <w:rPr>
          <w:rFonts w:ascii="Arial" w:eastAsia="Times New Roman" w:hAnsi="Arial" w:cs="Arial"/>
          <w:color w:val="000000"/>
          <w:szCs w:val="24"/>
        </w:rPr>
        <w:t xml:space="preserve"> Hospital.</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33"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1" w:name="m_2889938815520070680__Toc519521677"/>
      <w:proofErr w:type="gramStart"/>
      <w:r w:rsidRPr="00C70DBF">
        <w:rPr>
          <w:rFonts w:ascii="Calibri" w:eastAsia="Times New Roman" w:hAnsi="Calibri" w:cs="Calibri"/>
          <w:b/>
          <w:bCs/>
          <w:color w:val="800000"/>
          <w:sz w:val="22"/>
        </w:rPr>
        <w:t>Drowning Prevention: Assessment of a Classroom-Based Water Safety Education Program in Vietnam.</w:t>
      </w:r>
      <w:bookmarkEnd w:id="51"/>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lastRenderedPageBreak/>
        <w:t xml:space="preserve">W. D. Ramos, J. T. Greenshields, E. N. Knee, B. K. </w:t>
      </w:r>
      <w:proofErr w:type="spellStart"/>
      <w:r w:rsidRPr="00C70DBF">
        <w:rPr>
          <w:rFonts w:ascii="Arial" w:eastAsia="Times New Roman" w:hAnsi="Arial" w:cs="Arial"/>
          <w:color w:val="000000"/>
          <w:szCs w:val="24"/>
        </w:rPr>
        <w:t>Kreitl</w:t>
      </w:r>
      <w:proofErr w:type="spellEnd"/>
      <w:r w:rsidRPr="00C70DBF">
        <w:rPr>
          <w:rFonts w:ascii="Arial" w:eastAsia="Times New Roman" w:hAnsi="Arial" w:cs="Arial"/>
          <w:color w:val="000000"/>
          <w:szCs w:val="24"/>
        </w:rPr>
        <w:t xml:space="preserve"> and K. J. </w:t>
      </w:r>
      <w:proofErr w:type="spellStart"/>
      <w:r w:rsidRPr="00C70DBF">
        <w:rPr>
          <w:rFonts w:ascii="Arial" w:eastAsia="Times New Roman" w:hAnsi="Arial" w:cs="Arial"/>
          <w:color w:val="000000"/>
          <w:szCs w:val="24"/>
        </w:rPr>
        <w:t>Espirito</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Asia Pac J Public Health, 2018, p. 1010539518784396.</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Youth drowning continues to be a primary public health issue globally with Eurasian countries experiencing some of the highest recorded rates of injury and death in aquatic settings. The country of Vietnam is currently working toward reducing the number of youth drowning fatalities. Part of these efforts is the introduction of an in-school water safety educational program. For this study, pilot pre/post data were acquired and used to assess overall knowledge acquisition and changes in knowledge of youth in grades 1 to 5 in central Vietnam. A total of 229 schools participated, resulting in 40 198 usable surveys. The results indicated that overall there was a significant change in scores with an acceptable effect size between measures. Mean scores for each of the water safety messages were rated as acceptable (above 90%), satisfactory (between 70% and 90%), and areas of concern (under 70%). Recommendations were made to program leaders about identified areas of concern.</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2" w:name="m_2889938815520070680__Toc519521678"/>
      <w:proofErr w:type="gramStart"/>
      <w:r w:rsidRPr="00C70DBF">
        <w:rPr>
          <w:rFonts w:ascii="Calibri" w:eastAsia="Times New Roman" w:hAnsi="Calibri" w:cs="Calibri"/>
          <w:b/>
          <w:bCs/>
          <w:color w:val="800000"/>
          <w:sz w:val="22"/>
        </w:rPr>
        <w:t>Leaving No One Behind: Strengthening Access to Eye Health Programs for People With Disabilities in 6 Low- and Middle-Income Countries.</w:t>
      </w:r>
      <w:bookmarkEnd w:id="52"/>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M. </w:t>
      </w:r>
      <w:proofErr w:type="spellStart"/>
      <w:r w:rsidRPr="00C70DBF">
        <w:rPr>
          <w:rFonts w:ascii="Arial" w:eastAsia="Times New Roman" w:hAnsi="Arial" w:cs="Arial"/>
          <w:color w:val="000000"/>
          <w:szCs w:val="24"/>
        </w:rPr>
        <w:t>Morchen</w:t>
      </w:r>
      <w:proofErr w:type="spellEnd"/>
      <w:r w:rsidRPr="00C70DBF">
        <w:rPr>
          <w:rFonts w:ascii="Arial" w:eastAsia="Times New Roman" w:hAnsi="Arial" w:cs="Arial"/>
          <w:color w:val="000000"/>
          <w:szCs w:val="24"/>
        </w:rPr>
        <w:t xml:space="preserve">, A. Bush, P. Kiel, D. Lewis and B. Qureshi. </w:t>
      </w:r>
      <w:proofErr w:type="gramStart"/>
      <w:r w:rsidRPr="00C70DBF">
        <w:rPr>
          <w:rFonts w:ascii="Arial" w:eastAsia="Times New Roman" w:hAnsi="Arial" w:cs="Arial"/>
          <w:color w:val="000000"/>
          <w:szCs w:val="24"/>
        </w:rPr>
        <w:t xml:space="preserve">Asia Pac J </w:t>
      </w:r>
      <w:proofErr w:type="spellStart"/>
      <w:r w:rsidRPr="00C70DBF">
        <w:rPr>
          <w:rFonts w:ascii="Arial" w:eastAsia="Times New Roman" w:hAnsi="Arial" w:cs="Arial"/>
          <w:color w:val="000000"/>
          <w:szCs w:val="24"/>
        </w:rPr>
        <w:t>Ophthalmol</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Phila</w:t>
      </w:r>
      <w:proofErr w:type="spellEnd"/>
      <w:r w:rsidRPr="00C70DBF">
        <w:rPr>
          <w:rFonts w:ascii="Arial" w:eastAsia="Times New Roman" w:hAnsi="Arial" w:cs="Arial"/>
          <w:color w:val="000000"/>
          <w:szCs w:val="24"/>
        </w:rPr>
        <w:t>),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PURPOSE: To assess the impact of inclusive eye health programs for people with disabilities. DESIGN: A synthesis evaluation study. METHODS: A cross-disciplinary team of ophthalmologists, evaluation, and disability-inclusive development advisors purposively selected evaluation reports of CBM-supported inclusive eye health programs in low- and middle-income countries. Employing a change-promoting paradigm, salient achievements and challenges were narratively analyzed and recommendations suggested based on a previously developed framework for strengthening disability inclusion in eye health programs. RESULTS: Evaluations from 10 programs implemented in 6 countries (Cambodia, Egypt, Ethiopia, Indonesia, Pakistan, </w:t>
      </w:r>
      <w:proofErr w:type="gramStart"/>
      <w:r w:rsidRPr="00C70DBF">
        <w:rPr>
          <w:rFonts w:ascii="Arial" w:eastAsia="Times New Roman" w:hAnsi="Arial" w:cs="Arial"/>
          <w:color w:val="000000"/>
          <w:szCs w:val="24"/>
        </w:rPr>
        <w:t>Vietnam</w:t>
      </w:r>
      <w:proofErr w:type="gramEnd"/>
      <w:r w:rsidRPr="00C70DBF">
        <w:rPr>
          <w:rFonts w:ascii="Arial" w:eastAsia="Times New Roman" w:hAnsi="Arial" w:cs="Arial"/>
          <w:color w:val="000000"/>
          <w:szCs w:val="24"/>
        </w:rPr>
        <w:t xml:space="preserve">) from 2011 to 2016 were identified. Training of medical staff and government officials resulted in increased awareness about disability rights and improved physical accessibility of eye health facilities. Relevant information about inclusion in eye health was incorporated in national eye health training curricula in some countries. Information, education, and communication material about eye health neglected patients with hearing and learning impairments. An overly narrow focus on disability inclusion confounded </w:t>
      </w:r>
      <w:proofErr w:type="spellStart"/>
      <w:r w:rsidRPr="00C70DBF">
        <w:rPr>
          <w:rFonts w:ascii="Arial" w:eastAsia="Times New Roman" w:hAnsi="Arial" w:cs="Arial"/>
          <w:color w:val="000000"/>
          <w:szCs w:val="24"/>
        </w:rPr>
        <w:t>intersectoral</w:t>
      </w:r>
      <w:proofErr w:type="spellEnd"/>
      <w:r w:rsidRPr="00C70DBF">
        <w:rPr>
          <w:rFonts w:ascii="Arial" w:eastAsia="Times New Roman" w:hAnsi="Arial" w:cs="Arial"/>
          <w:color w:val="000000"/>
          <w:szCs w:val="24"/>
        </w:rPr>
        <w:t xml:space="preserve"> barriers to eye health services. Collaboration of eye health staff with disability peoples organizations improved significantly but evidence of its impact was elusive. Collection of disability-disaggregated data posed significant challenges and made it difficult to demonstrate </w:t>
      </w:r>
      <w:r w:rsidRPr="00C70DBF">
        <w:rPr>
          <w:rFonts w:ascii="Arial" w:eastAsia="Times New Roman" w:hAnsi="Arial" w:cs="Arial"/>
          <w:color w:val="000000"/>
          <w:szCs w:val="24"/>
        </w:rPr>
        <w:lastRenderedPageBreak/>
        <w:t>increased access to eye health programs by people with disabilities. CONCLUSIONS: Introduction of disability inclusion in eye health systems of countries with limited resources poses significant challenges. Future programs striving to improve access to eye health services for marginalized populations including people with disabilities might consider more flexible and contextualized approaches.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34"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3" w:name="m_2889938815520070680__Toc519521679"/>
      <w:r w:rsidRPr="00C70DBF">
        <w:rPr>
          <w:rFonts w:ascii="Calibri" w:eastAsia="Times New Roman" w:hAnsi="Calibri" w:cs="Calibri"/>
          <w:b/>
          <w:bCs/>
          <w:color w:val="800000"/>
          <w:sz w:val="22"/>
        </w:rPr>
        <w:t xml:space="preserve">Prevalence, risk awareness and health beliefs of </w:t>
      </w:r>
      <w:proofErr w:type="spellStart"/>
      <w:r w:rsidRPr="00C70DBF">
        <w:rPr>
          <w:rFonts w:ascii="Calibri" w:eastAsia="Times New Roman" w:hAnsi="Calibri" w:cs="Calibri"/>
          <w:b/>
          <w:bCs/>
          <w:color w:val="800000"/>
          <w:sz w:val="22"/>
        </w:rPr>
        <w:t>behavioural</w:t>
      </w:r>
      <w:proofErr w:type="spellEnd"/>
      <w:r w:rsidRPr="00C70DBF">
        <w:rPr>
          <w:rFonts w:ascii="Calibri" w:eastAsia="Times New Roman" w:hAnsi="Calibri" w:cs="Calibri"/>
          <w:b/>
          <w:bCs/>
          <w:color w:val="800000"/>
          <w:sz w:val="22"/>
        </w:rPr>
        <w:t xml:space="preserve"> risk factors for cardiovascular disease among university students in nine ASEAN countries.</w:t>
      </w:r>
      <w:bookmarkEnd w:id="53"/>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Karl </w:t>
      </w:r>
      <w:proofErr w:type="spellStart"/>
      <w:r w:rsidRPr="00C70DBF">
        <w:rPr>
          <w:rFonts w:ascii="Arial" w:eastAsia="Times New Roman" w:hAnsi="Arial" w:cs="Arial"/>
          <w:color w:val="000000"/>
          <w:szCs w:val="24"/>
        </w:rPr>
        <w:t>Peltzer</w:t>
      </w:r>
      <w:proofErr w:type="spellEnd"/>
      <w:r w:rsidRPr="00C70DBF">
        <w:rPr>
          <w:rFonts w:ascii="Arial" w:eastAsia="Times New Roman" w:hAnsi="Arial" w:cs="Arial"/>
          <w:color w:val="000000"/>
          <w:szCs w:val="24"/>
        </w:rPr>
        <w:t xml:space="preserve"> and </w:t>
      </w:r>
      <w:proofErr w:type="spellStart"/>
      <w:r w:rsidRPr="00C70DBF">
        <w:rPr>
          <w:rFonts w:ascii="Arial" w:eastAsia="Times New Roman" w:hAnsi="Arial" w:cs="Arial"/>
          <w:color w:val="000000"/>
          <w:szCs w:val="24"/>
        </w:rPr>
        <w:t>Supa</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Pengpid</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BMC Public Health, 2018, volume 18, p. 237.</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35" w:tgtFrame="_blank" w:history="1">
        <w:r w:rsidRPr="00C70DBF">
          <w:rPr>
            <w:rFonts w:ascii="Arial" w:eastAsia="Times New Roman" w:hAnsi="Arial" w:cs="Arial"/>
            <w:color w:val="1155CC"/>
            <w:szCs w:val="24"/>
            <w:u w:val="single"/>
          </w:rPr>
          <w:t>http://www.ncbi.nlm.nih.gov/pmc/articles/PMC5810026/</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BACKGROUND: Understanding </w:t>
      </w:r>
      <w:proofErr w:type="spellStart"/>
      <w:r w:rsidRPr="00C70DBF">
        <w:rPr>
          <w:rFonts w:ascii="Arial" w:eastAsia="Times New Roman" w:hAnsi="Arial" w:cs="Arial"/>
          <w:color w:val="000000"/>
          <w:szCs w:val="24"/>
        </w:rPr>
        <w:t>behavioural</w:t>
      </w:r>
      <w:proofErr w:type="spellEnd"/>
      <w:r w:rsidRPr="00C70DBF">
        <w:rPr>
          <w:rFonts w:ascii="Arial" w:eastAsia="Times New Roman" w:hAnsi="Arial" w:cs="Arial"/>
          <w:color w:val="000000"/>
          <w:szCs w:val="24"/>
        </w:rPr>
        <w:t xml:space="preserve"> risk factors of cardiovascular disease (CVD) is of great importance for CVD prevention and control. The aim of the study was to investigate the prevalence, risk awareness and health beliefs of </w:t>
      </w:r>
      <w:proofErr w:type="spellStart"/>
      <w:r w:rsidRPr="00C70DBF">
        <w:rPr>
          <w:rFonts w:ascii="Arial" w:eastAsia="Times New Roman" w:hAnsi="Arial" w:cs="Arial"/>
          <w:color w:val="000000"/>
          <w:szCs w:val="24"/>
        </w:rPr>
        <w:t>behavioural</w:t>
      </w:r>
      <w:proofErr w:type="spellEnd"/>
      <w:r w:rsidRPr="00C70DBF">
        <w:rPr>
          <w:rFonts w:ascii="Arial" w:eastAsia="Times New Roman" w:hAnsi="Arial" w:cs="Arial"/>
          <w:color w:val="000000"/>
          <w:szCs w:val="24"/>
        </w:rPr>
        <w:t xml:space="preserve"> risk factors of cardiovascular disease among university students in Association of Southeast Asian Nations (ASEAN) member states. METHODS: In a cross-sectional survey 8806 (37.5% male and 62.5% female) university students (Mean age 20.6, SD = 2.0) from nine ASEAN countries responded to an anonymous questionnaire. RESULTS: Results indicate that across all nine countries, among men and women, 27.5% and 16.9%, respectively, were overweight or obese, 39.0% and 53.0% engaged in low physical activity, 6.9% and 2.5% were current tobacco users, 10.1% and 4.2% had engaged in binge drinking in the past month and 62.7% and 58.2%, respectively, did not avoid eating fat and cholesterol. After adjusting for socio-demographic factors, health status and health benefits, poor risk awareness was associated with tobacco use and binge drinking, and after adjusting for socio-demographic factors, health status and risk awareness, poorer health benefits beliefs predicted overweight, low physical activity, tobacco use, binge drinking and non-avoidance of fat and cholesterol. CONCLUSION: The study found a high prevalence of </w:t>
      </w:r>
      <w:proofErr w:type="spellStart"/>
      <w:r w:rsidRPr="00C70DBF">
        <w:rPr>
          <w:rFonts w:ascii="Arial" w:eastAsia="Times New Roman" w:hAnsi="Arial" w:cs="Arial"/>
          <w:color w:val="000000"/>
          <w:szCs w:val="24"/>
        </w:rPr>
        <w:t>behavioural</w:t>
      </w:r>
      <w:proofErr w:type="spellEnd"/>
      <w:r w:rsidRPr="00C70DBF">
        <w:rPr>
          <w:rFonts w:ascii="Arial" w:eastAsia="Times New Roman" w:hAnsi="Arial" w:cs="Arial"/>
          <w:color w:val="000000"/>
          <w:szCs w:val="24"/>
        </w:rPr>
        <w:t xml:space="preserve"> risk factors of CVD. Results may inform health promotion strategies among university students in ASEAN.</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4" w:name="m_2889938815520070680__Toc519521680"/>
      <w:r w:rsidRPr="00C70DBF">
        <w:rPr>
          <w:rFonts w:ascii="Calibri" w:eastAsia="Times New Roman" w:hAnsi="Calibri" w:cs="Calibri"/>
          <w:b/>
          <w:bCs/>
          <w:color w:val="800000"/>
          <w:sz w:val="22"/>
        </w:rPr>
        <w:t xml:space="preserve">Projected costs associated with school-based screening to inform deployment of </w:t>
      </w:r>
      <w:proofErr w:type="spellStart"/>
      <w:r w:rsidRPr="00C70DBF">
        <w:rPr>
          <w:rFonts w:ascii="Calibri" w:eastAsia="Times New Roman" w:hAnsi="Calibri" w:cs="Calibri"/>
          <w:b/>
          <w:bCs/>
          <w:color w:val="800000"/>
          <w:sz w:val="22"/>
        </w:rPr>
        <w:t>Dengvaxia</w:t>
      </w:r>
      <w:proofErr w:type="spellEnd"/>
      <w:r w:rsidRPr="00C70DBF">
        <w:rPr>
          <w:rFonts w:ascii="Calibri" w:eastAsia="Times New Roman" w:hAnsi="Calibri" w:cs="Calibri"/>
          <w:b/>
          <w:bCs/>
          <w:color w:val="800000"/>
          <w:sz w:val="22"/>
        </w:rPr>
        <w:t>: Vietnam as a case study.</w:t>
      </w:r>
      <w:bookmarkEnd w:id="54"/>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H. C. Turner, B. A. Wills, M. Rahman, H. Quoc </w:t>
      </w:r>
      <w:proofErr w:type="spellStart"/>
      <w:r w:rsidRPr="00C70DBF">
        <w:rPr>
          <w:rFonts w:ascii="Arial" w:eastAsia="Times New Roman" w:hAnsi="Arial" w:cs="Arial"/>
          <w:color w:val="000000"/>
          <w:szCs w:val="24"/>
        </w:rPr>
        <w:t>Cuong</w:t>
      </w:r>
      <w:proofErr w:type="spellEnd"/>
      <w:r w:rsidRPr="00C70DBF">
        <w:rPr>
          <w:rFonts w:ascii="Arial" w:eastAsia="Times New Roman" w:hAnsi="Arial" w:cs="Arial"/>
          <w:color w:val="000000"/>
          <w:szCs w:val="24"/>
        </w:rPr>
        <w:t xml:space="preserve">, G. E. Thwaites and others. </w:t>
      </w:r>
      <w:proofErr w:type="gramStart"/>
      <w:r w:rsidRPr="00C70DBF">
        <w:rPr>
          <w:rFonts w:ascii="Arial" w:eastAsia="Times New Roman" w:hAnsi="Arial" w:cs="Arial"/>
          <w:color w:val="000000"/>
          <w:szCs w:val="24"/>
        </w:rPr>
        <w:t xml:space="preserve">Trans R </w:t>
      </w:r>
      <w:proofErr w:type="spellStart"/>
      <w:r w:rsidRPr="00C70DBF">
        <w:rPr>
          <w:rFonts w:ascii="Arial" w:eastAsia="Times New Roman" w:hAnsi="Arial" w:cs="Arial"/>
          <w:color w:val="000000"/>
          <w:szCs w:val="24"/>
        </w:rPr>
        <w:t>Soc</w:t>
      </w:r>
      <w:proofErr w:type="spellEnd"/>
      <w:r w:rsidRPr="00C70DBF">
        <w:rPr>
          <w:rFonts w:ascii="Arial" w:eastAsia="Times New Roman" w:hAnsi="Arial" w:cs="Arial"/>
          <w:color w:val="000000"/>
          <w:szCs w:val="24"/>
        </w:rPr>
        <w:t xml:space="preserve"> Trop Med </w:t>
      </w:r>
      <w:proofErr w:type="spellStart"/>
      <w:r w:rsidRPr="00C70DBF">
        <w:rPr>
          <w:rFonts w:ascii="Arial" w:eastAsia="Times New Roman" w:hAnsi="Arial" w:cs="Arial"/>
          <w:color w:val="000000"/>
          <w:szCs w:val="24"/>
        </w:rPr>
        <w:t>Hyg</w:t>
      </w:r>
      <w:proofErr w:type="spellEnd"/>
      <w:r w:rsidRPr="00C70DBF">
        <w:rPr>
          <w:rFonts w:ascii="Arial" w:eastAsia="Times New Roman" w:hAnsi="Arial" w:cs="Arial"/>
          <w:color w:val="000000"/>
          <w:szCs w:val="24"/>
        </w:rPr>
        <w:t>,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Background: After new analysis, Sanofi Pasteur now recommends their dengue vaccine (</w:t>
      </w:r>
      <w:proofErr w:type="spellStart"/>
      <w:r w:rsidRPr="00C70DBF">
        <w:rPr>
          <w:rFonts w:ascii="Arial" w:eastAsia="Times New Roman" w:hAnsi="Arial" w:cs="Arial"/>
          <w:color w:val="000000"/>
          <w:szCs w:val="24"/>
        </w:rPr>
        <w:t>Dengvaxia</w:t>
      </w:r>
      <w:proofErr w:type="spellEnd"/>
      <w:r w:rsidRPr="00C70DBF">
        <w:rPr>
          <w:rFonts w:ascii="Arial" w:eastAsia="Times New Roman" w:hAnsi="Arial" w:cs="Arial"/>
          <w:color w:val="000000"/>
          <w:szCs w:val="24"/>
        </w:rPr>
        <w:t xml:space="preserve">) should only be given to individuals previously infected with dengue and the World Health Organization's recommendations regarding its use are currently being revised. As a result, the potential costs of performing large-scale individual dengue screening and/or dengue </w:t>
      </w:r>
      <w:proofErr w:type="spellStart"/>
      <w:r w:rsidRPr="00C70DBF">
        <w:rPr>
          <w:rFonts w:ascii="Arial" w:eastAsia="Times New Roman" w:hAnsi="Arial" w:cs="Arial"/>
          <w:color w:val="000000"/>
          <w:szCs w:val="24"/>
        </w:rPr>
        <w:t>serosurveys</w:t>
      </w:r>
      <w:proofErr w:type="spellEnd"/>
      <w:r w:rsidRPr="00C70DBF">
        <w:rPr>
          <w:rFonts w:ascii="Arial" w:eastAsia="Times New Roman" w:hAnsi="Arial" w:cs="Arial"/>
          <w:color w:val="000000"/>
          <w:szCs w:val="24"/>
        </w:rPr>
        <w:t xml:space="preserve"> have become an important consideration for decision making by policymakers in dengue-endemic areas. Methods: We used an ingredients-based approach to estimate the financial costs for conducting both a school-based dengue </w:t>
      </w:r>
      <w:proofErr w:type="spellStart"/>
      <w:r w:rsidRPr="00C70DBF">
        <w:rPr>
          <w:rFonts w:ascii="Arial" w:eastAsia="Times New Roman" w:hAnsi="Arial" w:cs="Arial"/>
          <w:color w:val="000000"/>
          <w:szCs w:val="24"/>
        </w:rPr>
        <w:t>serosurvey</w:t>
      </w:r>
      <w:proofErr w:type="spellEnd"/>
      <w:r w:rsidRPr="00C70DBF">
        <w:rPr>
          <w:rFonts w:ascii="Arial" w:eastAsia="Times New Roman" w:hAnsi="Arial" w:cs="Arial"/>
          <w:color w:val="000000"/>
          <w:szCs w:val="24"/>
        </w:rPr>
        <w:t xml:space="preserve"> and school-based individual dengue screening within a typical province in Vietnam, using an existing commercial indirect immunoglobulin G enzyme-linked immunosorbent assay kit. This costing is hypothetical and based on estimates regarding the resources that would be required to perform such activities. Results: We estimated that performing a school-based individual screening of 9-year-olds would cost US$9.25 per child tested or US$197,827 in total for a typical province. We also estimated that a school-based </w:t>
      </w:r>
      <w:proofErr w:type="spellStart"/>
      <w:r w:rsidRPr="00C70DBF">
        <w:rPr>
          <w:rFonts w:ascii="Arial" w:eastAsia="Times New Roman" w:hAnsi="Arial" w:cs="Arial"/>
          <w:color w:val="000000"/>
          <w:szCs w:val="24"/>
        </w:rPr>
        <w:t>serosurvey</w:t>
      </w:r>
      <w:proofErr w:type="spellEnd"/>
      <w:r w:rsidRPr="00C70DBF">
        <w:rPr>
          <w:rFonts w:ascii="Arial" w:eastAsia="Times New Roman" w:hAnsi="Arial" w:cs="Arial"/>
          <w:color w:val="000000"/>
          <w:szCs w:val="24"/>
        </w:rPr>
        <w:t xml:space="preserve"> would cost US$10,074, assuming one class from each of the grades that include 8- to 11-year-olds are sampled at each of the 12 selected schools across the province. Conclusions: The study indicates that using this vaccine safely on a large-scale will incur noteworthy operational costs. It is crucial that these be considered in future cost-effectiveness analyses informing how and where the vaccine is deployed.</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36"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5" w:name="m_2889938815520070680__Toc519521681"/>
      <w:proofErr w:type="gramStart"/>
      <w:r w:rsidRPr="00C70DBF">
        <w:rPr>
          <w:rFonts w:ascii="Calibri" w:eastAsia="Times New Roman" w:hAnsi="Calibri" w:cs="Calibri"/>
          <w:b/>
          <w:bCs/>
          <w:color w:val="800000"/>
          <w:sz w:val="22"/>
        </w:rPr>
        <w:t xml:space="preserve">Quantifying antimicrobial access and usage for </w:t>
      </w:r>
      <w:proofErr w:type="spellStart"/>
      <w:r w:rsidRPr="00C70DBF">
        <w:rPr>
          <w:rFonts w:ascii="Calibri" w:eastAsia="Times New Roman" w:hAnsi="Calibri" w:cs="Calibri"/>
          <w:b/>
          <w:bCs/>
          <w:color w:val="800000"/>
          <w:sz w:val="22"/>
        </w:rPr>
        <w:t>paediatric</w:t>
      </w:r>
      <w:proofErr w:type="spellEnd"/>
      <w:r w:rsidRPr="00C70DBF">
        <w:rPr>
          <w:rFonts w:ascii="Calibri" w:eastAsia="Times New Roman" w:hAnsi="Calibri" w:cs="Calibri"/>
          <w:b/>
          <w:bCs/>
          <w:color w:val="800000"/>
          <w:sz w:val="22"/>
        </w:rPr>
        <w:t xml:space="preserve"> </w:t>
      </w:r>
      <w:proofErr w:type="spellStart"/>
      <w:r w:rsidRPr="00C70DBF">
        <w:rPr>
          <w:rFonts w:ascii="Calibri" w:eastAsia="Times New Roman" w:hAnsi="Calibri" w:cs="Calibri"/>
          <w:b/>
          <w:bCs/>
          <w:color w:val="800000"/>
          <w:sz w:val="22"/>
        </w:rPr>
        <w:t>diarrhoeal</w:t>
      </w:r>
      <w:proofErr w:type="spellEnd"/>
      <w:r w:rsidRPr="00C70DBF">
        <w:rPr>
          <w:rFonts w:ascii="Calibri" w:eastAsia="Times New Roman" w:hAnsi="Calibri" w:cs="Calibri"/>
          <w:b/>
          <w:bCs/>
          <w:color w:val="800000"/>
          <w:sz w:val="22"/>
        </w:rPr>
        <w:t xml:space="preserve"> disease in an urban community setting in Asia.</w:t>
      </w:r>
      <w:bookmarkEnd w:id="55"/>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L.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Quynh</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Nhi</w:t>
      </w:r>
      <w:proofErr w:type="spellEnd"/>
      <w:r w:rsidRPr="00C70DBF">
        <w:rPr>
          <w:rFonts w:ascii="Arial" w:eastAsia="Times New Roman" w:hAnsi="Arial" w:cs="Arial"/>
          <w:color w:val="000000"/>
          <w:szCs w:val="24"/>
        </w:rPr>
        <w:t xml:space="preserve">, R. de </w:t>
      </w:r>
      <w:proofErr w:type="spellStart"/>
      <w:r w:rsidRPr="00C70DBF">
        <w:rPr>
          <w:rFonts w:ascii="Arial" w:eastAsia="Times New Roman" w:hAnsi="Arial" w:cs="Arial"/>
          <w:color w:val="000000"/>
          <w:szCs w:val="24"/>
        </w:rPr>
        <w:t>Alwis</w:t>
      </w:r>
      <w:proofErr w:type="spellEnd"/>
      <w:r w:rsidRPr="00C70DBF">
        <w:rPr>
          <w:rFonts w:ascii="Arial" w:eastAsia="Times New Roman" w:hAnsi="Arial" w:cs="Arial"/>
          <w:color w:val="000000"/>
          <w:szCs w:val="24"/>
        </w:rPr>
        <w:t xml:space="preserve">, P. </w:t>
      </w:r>
      <w:proofErr w:type="spellStart"/>
      <w:r w:rsidRPr="00C70DBF">
        <w:rPr>
          <w:rFonts w:ascii="Arial" w:eastAsia="Times New Roman" w:hAnsi="Arial" w:cs="Arial"/>
          <w:color w:val="000000"/>
          <w:szCs w:val="24"/>
        </w:rPr>
        <w:t>Khanh</w:t>
      </w:r>
      <w:proofErr w:type="spellEnd"/>
      <w:r w:rsidRPr="00C70DBF">
        <w:rPr>
          <w:rFonts w:ascii="Arial" w:eastAsia="Times New Roman" w:hAnsi="Arial" w:cs="Arial"/>
          <w:color w:val="000000"/>
          <w:szCs w:val="24"/>
        </w:rPr>
        <w:t xml:space="preserve"> Lam, N. </w:t>
      </w:r>
      <w:proofErr w:type="spellStart"/>
      <w:r w:rsidRPr="00C70DBF">
        <w:rPr>
          <w:rFonts w:ascii="Arial" w:eastAsia="Times New Roman" w:hAnsi="Arial" w:cs="Arial"/>
          <w:color w:val="000000"/>
          <w:szCs w:val="24"/>
        </w:rPr>
        <w:t>Nhon</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Hoa</w:t>
      </w:r>
      <w:proofErr w:type="spellEnd"/>
      <w:r w:rsidRPr="00C70DBF">
        <w:rPr>
          <w:rFonts w:ascii="Arial" w:eastAsia="Times New Roman" w:hAnsi="Arial" w:cs="Arial"/>
          <w:color w:val="000000"/>
          <w:szCs w:val="24"/>
        </w:rPr>
        <w:t xml:space="preserve">, N. Minh </w:t>
      </w:r>
      <w:proofErr w:type="spellStart"/>
      <w:r w:rsidRPr="00C70DBF">
        <w:rPr>
          <w:rFonts w:ascii="Arial" w:eastAsia="Times New Roman" w:hAnsi="Arial" w:cs="Arial"/>
          <w:color w:val="000000"/>
          <w:szCs w:val="24"/>
        </w:rPr>
        <w:t>Nhan</w:t>
      </w:r>
      <w:proofErr w:type="spellEnd"/>
      <w:r w:rsidRPr="00C70DBF">
        <w:rPr>
          <w:rFonts w:ascii="Arial" w:eastAsia="Times New Roman" w:hAnsi="Arial" w:cs="Arial"/>
          <w:color w:val="000000"/>
          <w:szCs w:val="24"/>
        </w:rPr>
        <w:t xml:space="preserve"> and others. J </w:t>
      </w:r>
      <w:proofErr w:type="spellStart"/>
      <w:r w:rsidRPr="00C70DBF">
        <w:rPr>
          <w:rFonts w:ascii="Arial" w:eastAsia="Times New Roman" w:hAnsi="Arial" w:cs="Arial"/>
          <w:color w:val="000000"/>
          <w:szCs w:val="24"/>
        </w:rPr>
        <w:t>Antimicrob</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Chemother</w:t>
      </w:r>
      <w:proofErr w:type="spellEnd"/>
      <w:r w:rsidRPr="00C70DBF">
        <w:rPr>
          <w:rFonts w:ascii="Arial" w:eastAsia="Times New Roman" w:hAnsi="Arial" w:cs="Arial"/>
          <w:color w:val="000000"/>
          <w:szCs w:val="24"/>
        </w:rPr>
        <w:t>, 2018.</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Objectives: Antimicrobial-resistant infections are a major global health issue. Ease of antimicrobial access in developing countries is proposed to be a key driver of the antimicrobial resistance (AMR) epidemic despite a lack of community antimicrobial usage data. Methods: Using a mixed-methods approach (geospatial mapping, simulated clients, healthcare utilization, longitudinal cohort) we assessed antimicrobial access in the community and quantified antimicrobial usage for childhood </w:t>
      </w:r>
      <w:proofErr w:type="spellStart"/>
      <w:r w:rsidRPr="00C70DBF">
        <w:rPr>
          <w:rFonts w:ascii="Arial" w:eastAsia="Times New Roman" w:hAnsi="Arial" w:cs="Arial"/>
          <w:color w:val="000000"/>
          <w:szCs w:val="24"/>
        </w:rPr>
        <w:t>diarrhoea</w:t>
      </w:r>
      <w:proofErr w:type="spellEnd"/>
      <w:r w:rsidRPr="00C70DBF">
        <w:rPr>
          <w:rFonts w:ascii="Arial" w:eastAsia="Times New Roman" w:hAnsi="Arial" w:cs="Arial"/>
          <w:color w:val="000000"/>
          <w:szCs w:val="24"/>
        </w:rPr>
        <w:t xml:space="preserve"> in an urban Vietnamese setting. Results: The study area had a pharmacy density </w:t>
      </w:r>
      <w:proofErr w:type="gramStart"/>
      <w:r w:rsidRPr="00C70DBF">
        <w:rPr>
          <w:rFonts w:ascii="Arial" w:eastAsia="Times New Roman" w:hAnsi="Arial" w:cs="Arial"/>
          <w:color w:val="000000"/>
          <w:szCs w:val="24"/>
        </w:rPr>
        <w:t>of 15.7 pharmacies/km2 (a pharmacy for every 1316 people)</w:t>
      </w:r>
      <w:proofErr w:type="gramEnd"/>
      <w:r w:rsidRPr="00C70DBF">
        <w:rPr>
          <w:rFonts w:ascii="Arial" w:eastAsia="Times New Roman" w:hAnsi="Arial" w:cs="Arial"/>
          <w:color w:val="000000"/>
          <w:szCs w:val="24"/>
        </w:rPr>
        <w:t xml:space="preserve">. Using a simulated client method at pharmacies within the area, we found that 8% (3/37) and 22% (8/37) of outlets sold antimicrobials for </w:t>
      </w:r>
      <w:proofErr w:type="spellStart"/>
      <w:r w:rsidRPr="00C70DBF">
        <w:rPr>
          <w:rFonts w:ascii="Arial" w:eastAsia="Times New Roman" w:hAnsi="Arial" w:cs="Arial"/>
          <w:color w:val="000000"/>
          <w:szCs w:val="24"/>
        </w:rPr>
        <w:t>paediatric</w:t>
      </w:r>
      <w:proofErr w:type="spellEnd"/>
      <w:r w:rsidRPr="00C70DBF">
        <w:rPr>
          <w:rFonts w:ascii="Arial" w:eastAsia="Times New Roman" w:hAnsi="Arial" w:cs="Arial"/>
          <w:color w:val="000000"/>
          <w:szCs w:val="24"/>
        </w:rPr>
        <w:t xml:space="preserve"> watery and mucoid </w:t>
      </w:r>
      <w:proofErr w:type="spellStart"/>
      <w:r w:rsidRPr="00C70DBF">
        <w:rPr>
          <w:rFonts w:ascii="Arial" w:eastAsia="Times New Roman" w:hAnsi="Arial" w:cs="Arial"/>
          <w:color w:val="000000"/>
          <w:szCs w:val="24"/>
        </w:rPr>
        <w:t>diarrhoea</w:t>
      </w:r>
      <w:proofErr w:type="spellEnd"/>
      <w:r w:rsidRPr="00C70DBF">
        <w:rPr>
          <w:rFonts w:ascii="Arial" w:eastAsia="Times New Roman" w:hAnsi="Arial" w:cs="Arial"/>
          <w:color w:val="000000"/>
          <w:szCs w:val="24"/>
        </w:rPr>
        <w:t xml:space="preserve">, respectively. However, despite ease of pharmacy access, the majority of caregivers would choose to take their </w:t>
      </w:r>
      <w:r w:rsidRPr="00C70DBF">
        <w:rPr>
          <w:rFonts w:ascii="Arial" w:eastAsia="Times New Roman" w:hAnsi="Arial" w:cs="Arial"/>
          <w:color w:val="000000"/>
          <w:szCs w:val="24"/>
        </w:rPr>
        <w:lastRenderedPageBreak/>
        <w:t xml:space="preserve">child to a healthcare facility, with 81% (319/396) and 88% (347/396) of responders selecting a specialized hospital as one of their top three preferences when seeking treatment for watery and mucoid </w:t>
      </w:r>
      <w:proofErr w:type="spellStart"/>
      <w:r w:rsidRPr="00C70DBF">
        <w:rPr>
          <w:rFonts w:ascii="Arial" w:eastAsia="Times New Roman" w:hAnsi="Arial" w:cs="Arial"/>
          <w:color w:val="000000"/>
          <w:szCs w:val="24"/>
        </w:rPr>
        <w:t>diarrhoea</w:t>
      </w:r>
      <w:proofErr w:type="spellEnd"/>
      <w:r w:rsidRPr="00C70DBF">
        <w:rPr>
          <w:rFonts w:ascii="Arial" w:eastAsia="Times New Roman" w:hAnsi="Arial" w:cs="Arial"/>
          <w:color w:val="000000"/>
          <w:szCs w:val="24"/>
        </w:rPr>
        <w:t xml:space="preserve">, respectively. We calculated that at least 19% (2688/14427) of </w:t>
      </w:r>
      <w:proofErr w:type="spellStart"/>
      <w:r w:rsidRPr="00C70DBF">
        <w:rPr>
          <w:rFonts w:ascii="Arial" w:eastAsia="Times New Roman" w:hAnsi="Arial" w:cs="Arial"/>
          <w:color w:val="000000"/>
          <w:szCs w:val="24"/>
        </w:rPr>
        <w:t>diarrhoea</w:t>
      </w:r>
      <w:proofErr w:type="spellEnd"/>
      <w:r w:rsidRPr="00C70DBF">
        <w:rPr>
          <w:rFonts w:ascii="Arial" w:eastAsia="Times New Roman" w:hAnsi="Arial" w:cs="Arial"/>
          <w:color w:val="000000"/>
          <w:szCs w:val="24"/>
        </w:rPr>
        <w:t xml:space="preserve"> episodes in those aged 1 to &lt;5 years would receive an antimicrobial annually; however, antimicrobial usage was almost 10 times greater in hospitals than in the community. Conclusions: Our data question the impact of community antimicrobial usage on AMR and highlight the need for better education and guidelines for all professionals with the authority to prescribe antimicrobials.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6" w:name="m_2889938815520070680__Toc519521682"/>
      <w:proofErr w:type="gramStart"/>
      <w:r w:rsidRPr="00C70DBF">
        <w:rPr>
          <w:rFonts w:ascii="Calibri" w:eastAsia="Times New Roman" w:hAnsi="Calibri" w:cs="Calibri"/>
          <w:b/>
          <w:bCs/>
          <w:color w:val="800000"/>
          <w:sz w:val="22"/>
        </w:rPr>
        <w:t>Associations between internet addiction and physical activity among Vietnamese youths and adolescents.</w:t>
      </w:r>
      <w:bookmarkEnd w:id="56"/>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Anh Kim Dang, </w:t>
      </w:r>
      <w:proofErr w:type="spellStart"/>
      <w:r w:rsidRPr="00C70DBF">
        <w:rPr>
          <w:rFonts w:ascii="Arial" w:eastAsia="Times New Roman" w:hAnsi="Arial" w:cs="Arial"/>
          <w:color w:val="000000"/>
          <w:szCs w:val="24"/>
        </w:rPr>
        <w:t>Nila</w:t>
      </w:r>
      <w:proofErr w:type="spellEnd"/>
      <w:r w:rsidRPr="00C70DBF">
        <w:rPr>
          <w:rFonts w:ascii="Arial" w:eastAsia="Times New Roman" w:hAnsi="Arial" w:cs="Arial"/>
          <w:color w:val="000000"/>
          <w:szCs w:val="24"/>
        </w:rPr>
        <w:t xml:space="preserve"> Nathan, </w:t>
      </w:r>
      <w:proofErr w:type="spellStart"/>
      <w:r w:rsidRPr="00C70DBF">
        <w:rPr>
          <w:rFonts w:ascii="Arial" w:eastAsia="Times New Roman" w:hAnsi="Arial" w:cs="Arial"/>
          <w:color w:val="000000"/>
          <w:szCs w:val="24"/>
        </w:rPr>
        <w:t>Quynh</w:t>
      </w:r>
      <w:proofErr w:type="spellEnd"/>
      <w:r w:rsidRPr="00C70DBF">
        <w:rPr>
          <w:rFonts w:ascii="Arial" w:eastAsia="Times New Roman" w:hAnsi="Arial" w:cs="Arial"/>
          <w:color w:val="000000"/>
          <w:szCs w:val="24"/>
        </w:rPr>
        <w:t xml:space="preserve"> Ngoc Hoang Le, Long Hoang Nguyen, Huong Lan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Nguyen and others. </w:t>
      </w:r>
      <w:proofErr w:type="gramStart"/>
      <w:r w:rsidRPr="00C70DBF">
        <w:rPr>
          <w:rFonts w:ascii="Arial" w:eastAsia="Times New Roman" w:hAnsi="Arial" w:cs="Arial"/>
          <w:color w:val="000000"/>
          <w:szCs w:val="24"/>
        </w:rPr>
        <w:t>Children and Youth Services Review, 2018, volume 93, pp. 36-40.</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The increasing popularity of Internet raises challenges in preventing the negative influences of the Internet, particularly internet addiction (IA) on lifestyles, including physical activity. However, there has been a scarcity of evidence about the relationship between IA and physical activity among Vietnamese youths. The aim of this study was to see if there is an association between IA and physical activity in Vietnamese adolescents and youths. An online cross-sectional study with 589 Vietnamese adolescents and youths was conducted between August 2015 and October 2015 by using the respondent-driven sampling technique (RDS). Short-form Internet addiction test (s-IAT) and the International Physical Activity Questionnaire – Short form (</w:t>
      </w:r>
      <w:proofErr w:type="spellStart"/>
      <w:r w:rsidRPr="00C70DBF">
        <w:rPr>
          <w:rFonts w:ascii="Arial" w:eastAsia="Times New Roman" w:hAnsi="Arial" w:cs="Arial"/>
          <w:color w:val="000000"/>
          <w:szCs w:val="24"/>
        </w:rPr>
        <w:t>Iphysical</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activityQ</w:t>
      </w:r>
      <w:proofErr w:type="spellEnd"/>
      <w:r w:rsidRPr="00C70DBF">
        <w:rPr>
          <w:rFonts w:ascii="Arial" w:eastAsia="Times New Roman" w:hAnsi="Arial" w:cs="Arial"/>
          <w:color w:val="000000"/>
          <w:szCs w:val="24"/>
        </w:rPr>
        <w:t>-SF) were employed to measure IA and level of physical activity. The results revealed that 23.1% of the participants were found to be inactive in physical activity. Our study did not reveal any association between IA and physical activity in Vietnamese youths and adolescents. We found that the level of physical activity was low to moderate for the majority of the participants, showing that necessary steps are required to provide early intervention in order to emphasize the importance and the benefits of physical activity.</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37"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7" w:name="m_2889938815520070680__Toc519521683"/>
      <w:proofErr w:type="gramStart"/>
      <w:r w:rsidRPr="00C70DBF">
        <w:rPr>
          <w:rFonts w:ascii="Calibri" w:eastAsia="Times New Roman" w:hAnsi="Calibri" w:cs="Calibri"/>
          <w:b/>
          <w:bCs/>
          <w:color w:val="800000"/>
          <w:sz w:val="22"/>
        </w:rPr>
        <w:t>Child Nutrition Education for Lifelong Healthy Eating Habits in Mai Dam Commune, Vietnam.</w:t>
      </w:r>
      <w:bookmarkEnd w:id="57"/>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Lindsey </w:t>
      </w:r>
      <w:proofErr w:type="spellStart"/>
      <w:r w:rsidRPr="00C70DBF">
        <w:rPr>
          <w:rFonts w:ascii="Arial" w:eastAsia="Times New Roman" w:hAnsi="Arial" w:cs="Arial"/>
          <w:color w:val="000000"/>
          <w:szCs w:val="24"/>
        </w:rPr>
        <w:t>Daudt</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Giang</w:t>
      </w:r>
      <w:proofErr w:type="spellEnd"/>
      <w:r w:rsidRPr="00C70DBF">
        <w:rPr>
          <w:rFonts w:ascii="Arial" w:eastAsia="Times New Roman" w:hAnsi="Arial" w:cs="Arial"/>
          <w:color w:val="000000"/>
          <w:szCs w:val="24"/>
        </w:rPr>
        <w:t xml:space="preserve"> Hoang, Tam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Pham and Susan Graham.</w:t>
      </w:r>
      <w:proofErr w:type="gramEnd"/>
      <w:r w:rsidRPr="00C70DBF">
        <w:rPr>
          <w:rFonts w:ascii="Arial" w:eastAsia="Times New Roman" w:hAnsi="Arial" w:cs="Arial"/>
          <w:color w:val="000000"/>
          <w:szCs w:val="24"/>
        </w:rPr>
        <w:t xml:space="preserve"> Pediatrics, 2018, volume 142, number 1.</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Background: In Mai Dam Commune, hypertension and diabetes are high priority diseases as they are two leading causes of illness. Changing lifestyle habits, like worsening diets and decreased activity, are possible culprits to this shift in disease burden. Previous programs to address these issues focused on adults with established hypertension and diabetes or with risk factors for these conditions. An avenue to prevent these diseases that has been used is nutrition education for children. Primary school-aged children are facing high rates of both overweight and stunting in Vietnam. Children in this community have imbalanced diets, with many having low protein and vegetable intake, and a high intake of white rice and junk food. These children are developing lifelong eating habits and starting to make food choices outside the home, which makes them excellent targets for nutrition education. Objective: This project sought to address the issue of imbalanced nutrition by implementing an education program for primary school children. Methodology: Thirteen informal interviews were conducted with key informants in </w:t>
      </w:r>
      <w:proofErr w:type="spellStart"/>
      <w:r w:rsidRPr="00C70DBF">
        <w:rPr>
          <w:rFonts w:ascii="Arial" w:eastAsia="Times New Roman" w:hAnsi="Arial" w:cs="Arial"/>
          <w:color w:val="000000"/>
          <w:szCs w:val="24"/>
        </w:rPr>
        <w:t>Mái</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Dầm</w:t>
      </w:r>
      <w:proofErr w:type="spellEnd"/>
      <w:r w:rsidRPr="00C70DBF">
        <w:rPr>
          <w:rFonts w:ascii="Arial" w:eastAsia="Times New Roman" w:hAnsi="Arial" w:cs="Arial"/>
          <w:color w:val="000000"/>
          <w:szCs w:val="24"/>
        </w:rPr>
        <w:t xml:space="preserve"> to identify the issues with improving nutrition. The lesson plan was developed using resources from the CDC and the Vietnam Dietary Guidelines, and was revised by staff at Can </w:t>
      </w:r>
      <w:proofErr w:type="spellStart"/>
      <w:r w:rsidRPr="00C70DBF">
        <w:rPr>
          <w:rFonts w:ascii="Arial" w:eastAsia="Times New Roman" w:hAnsi="Arial" w:cs="Arial"/>
          <w:color w:val="000000"/>
          <w:szCs w:val="24"/>
        </w:rPr>
        <w:t>Tho</w:t>
      </w:r>
      <w:proofErr w:type="spellEnd"/>
      <w:r w:rsidRPr="00C70DBF">
        <w:rPr>
          <w:rFonts w:ascii="Arial" w:eastAsia="Times New Roman" w:hAnsi="Arial" w:cs="Arial"/>
          <w:color w:val="000000"/>
          <w:szCs w:val="24"/>
        </w:rPr>
        <w:t xml:space="preserve"> University School of Medicine and Pharmacy. Preventive Medicine Doctor </w:t>
      </w:r>
      <w:proofErr w:type="gramStart"/>
      <w:r w:rsidRPr="00C70DBF">
        <w:rPr>
          <w:rFonts w:ascii="Arial" w:eastAsia="Times New Roman" w:hAnsi="Arial" w:cs="Arial"/>
          <w:color w:val="000000"/>
          <w:szCs w:val="24"/>
        </w:rPr>
        <w:t>students</w:t>
      </w:r>
      <w:proofErr w:type="gramEnd"/>
      <w:r w:rsidRPr="00C70DBF">
        <w:rPr>
          <w:rFonts w:ascii="Arial" w:eastAsia="Times New Roman" w:hAnsi="Arial" w:cs="Arial"/>
          <w:color w:val="000000"/>
          <w:szCs w:val="24"/>
        </w:rPr>
        <w:t xml:space="preserve"> from CTUMP were trained to deliver the lesson plan to primary school-aged children. A pretest and posttest was used to assess children’s knowledge following each lesson. Outcomes: Nine PMD students were trained and delivered the nutrition lesson to 143 primary school students and 62 parents. Five sessions were held, one for each grade level 1st-5th, and each student took home an educational poster. Students were able to model the recommended amounts of food in proportion to each other. The knowledge test average increased from 59% to 63%, with the greatest improvements seen for the 1st (63% to 79%) and 5th (72% to 80%) grades. Discussion: Primary school students improved knowledge of the definition of a balanced diet, good sources of nutrients, and how to eat a balanced diet. While knowledge does not guarantee behavior change, it is an important first step to change. This program will be incorporated into the PMD curriculum at CTUMP, where students will teach this program in other communes. Future use of this program will be focused on 1st or 5th graders, as they seemed most receptive to the program. Recommendations: Long-term evaluation to assess maintenance of knowledge and changes in behavior is necessary to evaluate this program’s long-term value. Future projects should focus on the role of parents’ fear of stunting on child nutrition and creating an environment that supports good eating habits in Mai Dam Commune.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8" w:name="m_2889938815520070680__Toc519521684"/>
      <w:proofErr w:type="gramStart"/>
      <w:r w:rsidRPr="00C70DBF">
        <w:rPr>
          <w:rFonts w:ascii="Calibri" w:eastAsia="Times New Roman" w:hAnsi="Calibri" w:cs="Calibri"/>
          <w:b/>
          <w:bCs/>
          <w:color w:val="800000"/>
          <w:sz w:val="22"/>
        </w:rPr>
        <w:t>Decomposition of changes in the consumption of macronutrients in Vietnam between 2004 and 2014.</w:t>
      </w:r>
      <w:bookmarkEnd w:id="58"/>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Huong TRINH THI, Michel SIMIONI and Christine THOMAS-AGNAN,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38" w:tgtFrame="_blank" w:history="1">
        <w:r w:rsidRPr="00C70DBF">
          <w:rPr>
            <w:rFonts w:ascii="Arial" w:eastAsia="Times New Roman" w:hAnsi="Arial" w:cs="Arial"/>
            <w:color w:val="1155CC"/>
            <w:szCs w:val="24"/>
            <w:u w:val="single"/>
          </w:rPr>
          <w:t>https://www.tse-fr.eu/sites/default/files/TSE/documents/doc/wp/2018/wp_tse_910.pdf</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Abstract: Vietnam is undergoing a nutritional transition like many middle-income countries. This transition is characterized by an increase in per capita total calorie intake resulting from an increase in the consumption of fat and protein while the carbohydrate consumption decreases. This paper proposes to highlight the sociodemographic drivers of this transition over the period 2004-2014, using Vietnam Household Living Standard Survey data. We implement a method of decomposition of between-year differences in economic outcomes recently proposed in the literature. This method decomposes the between-year change in various indicators related to the outcome distribution (mean, median, quantiles. . . ) into the effect due to between-year change in the conditional distribution of the outcome given sociodemographic characteristics, or “structure effect”, and the effect due to the differences in sociodemographic characteristics across years, or “composition effect”. In turn, this last effect is decomposed into direct contributions of each sociodemographic characteristics and effects of their interactions. The composition effect, always positive, generally outweighs the structure effect when considering the between-year changes in distributions of per capita calorie intake or calorie intake coming from protein or fat. The effects of changes in the composition of the Vietnamese population thus overcome the effects of changes in preferences of the same population. This finding is reversed in the case of carbohydrates. Food expenditure and household size appear to be the main contributors to the composition effect. The positive effects of these two variables explain well most of the between-year shifts observed in the calorie intake distributions. Urbanization and level of education contribute negatively to the composition effect, with the noticeable exception of fat where the effect of urbanization is positive. But these two variables effects are negligible compared to those of food expenditure and household size.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39"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59" w:name="m_2889938815520070680__Toc519521685"/>
      <w:r w:rsidRPr="00C70DBF">
        <w:rPr>
          <w:rFonts w:ascii="Calibri" w:eastAsia="Times New Roman" w:hAnsi="Calibri" w:cs="Calibri"/>
          <w:b/>
          <w:bCs/>
          <w:color w:val="800000"/>
          <w:sz w:val="22"/>
        </w:rPr>
        <w:t>Food Composition Tables in Southeast Asia: The Contribution of the SMILING Project.</w:t>
      </w:r>
      <w:bookmarkEnd w:id="59"/>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P. Hulshof, E. </w:t>
      </w:r>
      <w:proofErr w:type="spellStart"/>
      <w:r w:rsidRPr="00C70DBF">
        <w:rPr>
          <w:rFonts w:ascii="Arial" w:eastAsia="Times New Roman" w:hAnsi="Arial" w:cs="Arial"/>
          <w:color w:val="000000"/>
          <w:szCs w:val="24"/>
        </w:rPr>
        <w:t>Doets</w:t>
      </w:r>
      <w:proofErr w:type="spellEnd"/>
      <w:r w:rsidRPr="00C70DBF">
        <w:rPr>
          <w:rFonts w:ascii="Arial" w:eastAsia="Times New Roman" w:hAnsi="Arial" w:cs="Arial"/>
          <w:color w:val="000000"/>
          <w:szCs w:val="24"/>
        </w:rPr>
        <w:t xml:space="preserve">, S. </w:t>
      </w:r>
      <w:proofErr w:type="spellStart"/>
      <w:r w:rsidRPr="00C70DBF">
        <w:rPr>
          <w:rFonts w:ascii="Arial" w:eastAsia="Times New Roman" w:hAnsi="Arial" w:cs="Arial"/>
          <w:color w:val="000000"/>
          <w:szCs w:val="24"/>
        </w:rPr>
        <w:t>Seyha</w:t>
      </w:r>
      <w:proofErr w:type="spellEnd"/>
      <w:r w:rsidRPr="00C70DBF">
        <w:rPr>
          <w:rFonts w:ascii="Arial" w:eastAsia="Times New Roman" w:hAnsi="Arial" w:cs="Arial"/>
          <w:color w:val="000000"/>
          <w:szCs w:val="24"/>
        </w:rPr>
        <w:t xml:space="preserve">, T. </w:t>
      </w:r>
      <w:proofErr w:type="spellStart"/>
      <w:r w:rsidRPr="00C70DBF">
        <w:rPr>
          <w:rFonts w:ascii="Arial" w:eastAsia="Times New Roman" w:hAnsi="Arial" w:cs="Arial"/>
          <w:color w:val="000000"/>
          <w:szCs w:val="24"/>
        </w:rPr>
        <w:t>Bunthang</w:t>
      </w:r>
      <w:proofErr w:type="spellEnd"/>
      <w:r w:rsidRPr="00C70DBF">
        <w:rPr>
          <w:rFonts w:ascii="Arial" w:eastAsia="Times New Roman" w:hAnsi="Arial" w:cs="Arial"/>
          <w:color w:val="000000"/>
          <w:szCs w:val="24"/>
        </w:rPr>
        <w:t xml:space="preserve">, M. </w:t>
      </w:r>
      <w:proofErr w:type="spellStart"/>
      <w:r w:rsidRPr="00C70DBF">
        <w:rPr>
          <w:rFonts w:ascii="Arial" w:eastAsia="Times New Roman" w:hAnsi="Arial" w:cs="Arial"/>
          <w:color w:val="000000"/>
          <w:szCs w:val="24"/>
        </w:rPr>
        <w:t>Vonglokham</w:t>
      </w:r>
      <w:proofErr w:type="spellEnd"/>
      <w:r w:rsidRPr="00C70DBF">
        <w:rPr>
          <w:rFonts w:ascii="Arial" w:eastAsia="Times New Roman" w:hAnsi="Arial" w:cs="Arial"/>
          <w:color w:val="000000"/>
          <w:szCs w:val="24"/>
        </w:rPr>
        <w:t xml:space="preserve"> and others. </w:t>
      </w:r>
      <w:proofErr w:type="spellStart"/>
      <w:proofErr w:type="gramStart"/>
      <w:r w:rsidRPr="00C70DBF">
        <w:rPr>
          <w:rFonts w:ascii="Arial" w:eastAsia="Times New Roman" w:hAnsi="Arial" w:cs="Arial"/>
          <w:color w:val="000000"/>
          <w:szCs w:val="24"/>
        </w:rPr>
        <w:t>Matern</w:t>
      </w:r>
      <w:proofErr w:type="spellEnd"/>
      <w:r w:rsidRPr="00C70DBF">
        <w:rPr>
          <w:rFonts w:ascii="Arial" w:eastAsia="Times New Roman" w:hAnsi="Arial" w:cs="Arial"/>
          <w:color w:val="000000"/>
          <w:szCs w:val="24"/>
        </w:rPr>
        <w:t xml:space="preserve"> Child Health J,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Objectives Food composition data are </w:t>
      </w:r>
      <w:proofErr w:type="gramStart"/>
      <w:r w:rsidRPr="00C70DBF">
        <w:rPr>
          <w:rFonts w:ascii="Arial" w:eastAsia="Times New Roman" w:hAnsi="Arial" w:cs="Arial"/>
          <w:color w:val="000000"/>
          <w:szCs w:val="24"/>
        </w:rPr>
        <w:t>key</w:t>
      </w:r>
      <w:proofErr w:type="gramEnd"/>
      <w:r w:rsidRPr="00C70DBF">
        <w:rPr>
          <w:rFonts w:ascii="Arial" w:eastAsia="Times New Roman" w:hAnsi="Arial" w:cs="Arial"/>
          <w:color w:val="000000"/>
          <w:szCs w:val="24"/>
        </w:rPr>
        <w:t xml:space="preserve"> for many nutrition related activities in research, planning and policy. Combatting micronutrient malnutrition among women and young children using sustainable food based approaches, as aimed at in the SMILING project, requires high quality food composition data. Methods In order to develop capacity and to align procedures for establishing, updating and assessing the quality of key nutrient data in the food composition tables in Southeast Asia, a detailed roadmap was developed to identify and propose steps for this. This included a training workshop to build capacity in the field of food composition data, and alignment of procedures for selecting foods and nutrients to be included for quality assessment, and </w:t>
      </w:r>
      <w:r w:rsidRPr="00C70DBF">
        <w:rPr>
          <w:rFonts w:ascii="Arial" w:eastAsia="Times New Roman" w:hAnsi="Arial" w:cs="Arial"/>
          <w:color w:val="000000"/>
          <w:szCs w:val="24"/>
        </w:rPr>
        <w:lastRenderedPageBreak/>
        <w:t xml:space="preserve">update of country specific food composition tables. The SEA partners in the SMILING project </w:t>
      </w:r>
      <w:proofErr w:type="spellStart"/>
      <w:r w:rsidRPr="00C70DBF">
        <w:rPr>
          <w:rFonts w:ascii="Arial" w:eastAsia="Times New Roman" w:hAnsi="Arial" w:cs="Arial"/>
          <w:color w:val="000000"/>
          <w:szCs w:val="24"/>
        </w:rPr>
        <w:t>finalised</w:t>
      </w:r>
      <w:proofErr w:type="spellEnd"/>
      <w:r w:rsidRPr="00C70DBF">
        <w:rPr>
          <w:rFonts w:ascii="Arial" w:eastAsia="Times New Roman" w:hAnsi="Arial" w:cs="Arial"/>
          <w:color w:val="000000"/>
          <w:szCs w:val="24"/>
        </w:rPr>
        <w:t xml:space="preserve"> a country specific food composition table (FCT) with updated compositional data on selected foods and nutrients considered key for designing nutrient dense and optimal diets for the target groups. Results Between 140 and 175 foods were selected for inclusion in the country specific FCTs. Key-nutrients were: energy, protein, total fat, carbohydrates, iron, zinc, (pro-)-vitamin A, folate, calcium, vitamin D, vitamin B1, vitamin B2, vitamin B3, vitamin B6, vitamin B12 and vitamin C. A detailed quality assessment on 13 key-foods per nutrient was performed using international guidelines. Nutrient data for specific local food items were often unavailable and data on folate, vitamin B12 and vitamin B6 contents were mostly missing. For many foods, documentation was not available, thereby complicating an in-depth quality assessment. Despite these limitations, the SMILING project offered a unique opportunity to increase awareness of the importance of high quality well documented food composition data. Conclusion for </w:t>
      </w:r>
      <w:proofErr w:type="spellStart"/>
      <w:r w:rsidRPr="00C70DBF">
        <w:rPr>
          <w:rFonts w:ascii="Arial" w:eastAsia="Times New Roman" w:hAnsi="Arial" w:cs="Arial"/>
          <w:color w:val="000000"/>
          <w:szCs w:val="24"/>
        </w:rPr>
        <w:t>Practise</w:t>
      </w:r>
      <w:proofErr w:type="spellEnd"/>
      <w:r w:rsidRPr="00C70DBF">
        <w:rPr>
          <w:rFonts w:ascii="Arial" w:eastAsia="Times New Roman" w:hAnsi="Arial" w:cs="Arial"/>
          <w:color w:val="000000"/>
          <w:szCs w:val="24"/>
        </w:rPr>
        <w:t xml:space="preserve"> The self-reported data quality demonstrated that there is considerable room for improvement of the nutrient data quality in some countries. In addition, investment in sustainable capacity development and an urgent need to produce and document high quality data on the micronutrient composition of especially local foods is required.</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60" w:name="m_2889938815520070680__Toc519521686"/>
      <w:r w:rsidRPr="00C70DBF">
        <w:rPr>
          <w:rFonts w:ascii="Arial" w:eastAsia="Times New Roman" w:hAnsi="Arial" w:cs="Arial"/>
          <w:b/>
          <w:bCs/>
          <w:color w:val="FFFFFF"/>
          <w:kern w:val="36"/>
          <w:sz w:val="48"/>
          <w:szCs w:val="48"/>
        </w:rPr>
        <w:t>ROAD SAFETY</w:t>
      </w:r>
      <w:bookmarkEnd w:id="60"/>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61" w:name="m_2889938815520070680__Toc519521687"/>
      <w:r w:rsidRPr="00C70DBF">
        <w:rPr>
          <w:rFonts w:ascii="Calibri" w:eastAsia="Times New Roman" w:hAnsi="Calibri" w:cs="Calibri"/>
          <w:b/>
          <w:bCs/>
          <w:color w:val="800000"/>
          <w:sz w:val="22"/>
        </w:rPr>
        <w:t xml:space="preserve">Correlations between mobile phone use and other risky </w:t>
      </w:r>
      <w:proofErr w:type="spellStart"/>
      <w:r w:rsidRPr="00C70DBF">
        <w:rPr>
          <w:rFonts w:ascii="Calibri" w:eastAsia="Times New Roman" w:hAnsi="Calibri" w:cs="Calibri"/>
          <w:b/>
          <w:bCs/>
          <w:color w:val="800000"/>
          <w:sz w:val="22"/>
        </w:rPr>
        <w:t>behaviours</w:t>
      </w:r>
      <w:proofErr w:type="spellEnd"/>
      <w:r w:rsidRPr="00C70DBF">
        <w:rPr>
          <w:rFonts w:ascii="Calibri" w:eastAsia="Times New Roman" w:hAnsi="Calibri" w:cs="Calibri"/>
          <w:b/>
          <w:bCs/>
          <w:color w:val="800000"/>
          <w:sz w:val="22"/>
        </w:rPr>
        <w:t xml:space="preserve"> while riding a motorcycle.</w:t>
      </w:r>
      <w:bookmarkEnd w:id="61"/>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L. T. Truong, H. T. T. Nguyen and C. De </w:t>
      </w:r>
      <w:proofErr w:type="spellStart"/>
      <w:r w:rsidRPr="00C70DBF">
        <w:rPr>
          <w:rFonts w:ascii="Arial" w:eastAsia="Times New Roman" w:hAnsi="Arial" w:cs="Arial"/>
          <w:color w:val="000000"/>
          <w:szCs w:val="24"/>
        </w:rPr>
        <w:t>Gruyter</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Accid</w:t>
      </w:r>
      <w:proofErr w:type="spellEnd"/>
      <w:r w:rsidRPr="00C70DBF">
        <w:rPr>
          <w:rFonts w:ascii="Arial" w:eastAsia="Times New Roman" w:hAnsi="Arial" w:cs="Arial"/>
          <w:color w:val="000000"/>
          <w:szCs w:val="24"/>
        </w:rPr>
        <w:t xml:space="preserve"> Anal </w:t>
      </w:r>
      <w:proofErr w:type="spellStart"/>
      <w:r w:rsidRPr="00C70DBF">
        <w:rPr>
          <w:rFonts w:ascii="Arial" w:eastAsia="Times New Roman" w:hAnsi="Arial" w:cs="Arial"/>
          <w:color w:val="000000"/>
          <w:szCs w:val="24"/>
        </w:rPr>
        <w:t>Prev</w:t>
      </w:r>
      <w:proofErr w:type="spellEnd"/>
      <w:r w:rsidRPr="00C70DBF">
        <w:rPr>
          <w:rFonts w:ascii="Arial" w:eastAsia="Times New Roman" w:hAnsi="Arial" w:cs="Arial"/>
          <w:color w:val="000000"/>
          <w:szCs w:val="24"/>
        </w:rPr>
        <w:t>, 2018, volume 118, pp. 125-130.</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Motorcyclist safety is a major concern in many developing countries. Understanding motorcycle riders' risky </w:t>
      </w:r>
      <w:proofErr w:type="spellStart"/>
      <w:r w:rsidRPr="00C70DBF">
        <w:rPr>
          <w:rFonts w:ascii="Arial" w:eastAsia="Times New Roman" w:hAnsi="Arial" w:cs="Arial"/>
          <w:color w:val="000000"/>
          <w:szCs w:val="24"/>
        </w:rPr>
        <w:t>behaviours</w:t>
      </w:r>
      <w:proofErr w:type="spellEnd"/>
      <w:r w:rsidRPr="00C70DBF">
        <w:rPr>
          <w:rFonts w:ascii="Arial" w:eastAsia="Times New Roman" w:hAnsi="Arial" w:cs="Arial"/>
          <w:color w:val="000000"/>
          <w:szCs w:val="24"/>
        </w:rPr>
        <w:t xml:space="preserve">, particularly among the younger population, is essential to developing effective interventions. This paper explores the correlations between mobile phone use while riding and other risky riding </w:t>
      </w:r>
      <w:proofErr w:type="spellStart"/>
      <w:r w:rsidRPr="00C70DBF">
        <w:rPr>
          <w:rFonts w:ascii="Arial" w:eastAsia="Times New Roman" w:hAnsi="Arial" w:cs="Arial"/>
          <w:color w:val="000000"/>
          <w:szCs w:val="24"/>
        </w:rPr>
        <w:t>behaviours</w:t>
      </w:r>
      <w:proofErr w:type="spellEnd"/>
      <w:r w:rsidRPr="00C70DBF">
        <w:rPr>
          <w:rFonts w:ascii="Arial" w:eastAsia="Times New Roman" w:hAnsi="Arial" w:cs="Arial"/>
          <w:color w:val="000000"/>
          <w:szCs w:val="24"/>
        </w:rPr>
        <w:t xml:space="preserve"> as well as the relationships between perceived risks and risky riding </w:t>
      </w:r>
      <w:proofErr w:type="spellStart"/>
      <w:r w:rsidRPr="00C70DBF">
        <w:rPr>
          <w:rFonts w:ascii="Arial" w:eastAsia="Times New Roman" w:hAnsi="Arial" w:cs="Arial"/>
          <w:color w:val="000000"/>
          <w:szCs w:val="24"/>
        </w:rPr>
        <w:t>behaviours</w:t>
      </w:r>
      <w:proofErr w:type="spellEnd"/>
      <w:r w:rsidRPr="00C70DBF">
        <w:rPr>
          <w:rFonts w:ascii="Arial" w:eastAsia="Times New Roman" w:hAnsi="Arial" w:cs="Arial"/>
          <w:color w:val="000000"/>
          <w:szCs w:val="24"/>
        </w:rPr>
        <w:t xml:space="preserve">, using an online survey of university students in Vietnam. Results show that calling while riding a motorcycle had the highest prevalence (74%) while reckless overtaking had the lowest prevalence (33.2%). Survey participants who indicated that they had the </w:t>
      </w:r>
      <w:proofErr w:type="spellStart"/>
      <w:r w:rsidRPr="00C70DBF">
        <w:rPr>
          <w:rFonts w:ascii="Arial" w:eastAsia="Times New Roman" w:hAnsi="Arial" w:cs="Arial"/>
          <w:color w:val="000000"/>
          <w:szCs w:val="24"/>
        </w:rPr>
        <w:t>behaviours</w:t>
      </w:r>
      <w:proofErr w:type="spellEnd"/>
      <w:r w:rsidRPr="00C70DBF">
        <w:rPr>
          <w:rFonts w:ascii="Arial" w:eastAsia="Times New Roman" w:hAnsi="Arial" w:cs="Arial"/>
          <w:color w:val="000000"/>
          <w:szCs w:val="24"/>
        </w:rPr>
        <w:t xml:space="preserve"> of reckless overtaking or riding on sidewalks were around twice as likely to call, text, or search for information while riding. In addition, those who admitted that they rode a motorcycle while under the influence of alcohol were nearly twice as likely to call or text while riding. The results also show that perceived crash risks reduced the likelihood of risky riding </w:t>
      </w:r>
      <w:proofErr w:type="spellStart"/>
      <w:r w:rsidRPr="00C70DBF">
        <w:rPr>
          <w:rFonts w:ascii="Arial" w:eastAsia="Times New Roman" w:hAnsi="Arial" w:cs="Arial"/>
          <w:color w:val="000000"/>
          <w:szCs w:val="24"/>
        </w:rPr>
        <w:t>behaviours</w:t>
      </w:r>
      <w:proofErr w:type="spellEnd"/>
      <w:r w:rsidRPr="00C70DBF">
        <w:rPr>
          <w:rFonts w:ascii="Arial" w:eastAsia="Times New Roman" w:hAnsi="Arial" w:cs="Arial"/>
          <w:color w:val="000000"/>
          <w:szCs w:val="24"/>
        </w:rPr>
        <w:t xml:space="preserve">, including calling, texting, searching for information, speeding, running red lights, riding on the wrong side of a road, and riding on sidewalks. A more </w:t>
      </w:r>
      <w:r w:rsidRPr="00C70DBF">
        <w:rPr>
          <w:rFonts w:ascii="Arial" w:eastAsia="Times New Roman" w:hAnsi="Arial" w:cs="Arial"/>
          <w:color w:val="000000"/>
          <w:szCs w:val="24"/>
        </w:rPr>
        <w:lastRenderedPageBreak/>
        <w:t xml:space="preserve">coordinated approach to enforcement is needed to help reduce the prevalence of multiple risk taking </w:t>
      </w:r>
      <w:proofErr w:type="spellStart"/>
      <w:r w:rsidRPr="00C70DBF">
        <w:rPr>
          <w:rFonts w:ascii="Arial" w:eastAsia="Times New Roman" w:hAnsi="Arial" w:cs="Arial"/>
          <w:color w:val="000000"/>
          <w:szCs w:val="24"/>
        </w:rPr>
        <w:t>behaviours</w:t>
      </w:r>
      <w:proofErr w:type="spellEnd"/>
      <w:r w:rsidRPr="00C70DBF">
        <w:rPr>
          <w:rFonts w:ascii="Arial" w:eastAsia="Times New Roman" w:hAnsi="Arial" w:cs="Arial"/>
          <w:color w:val="000000"/>
          <w:szCs w:val="24"/>
        </w:rPr>
        <w:t xml:space="preserve"> among motorcyclists.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40"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62" w:name="m_2889938815520070680__Toc519521688"/>
      <w:r w:rsidRPr="00C70DBF">
        <w:rPr>
          <w:rFonts w:ascii="Arial" w:eastAsia="Times New Roman" w:hAnsi="Arial" w:cs="Arial"/>
          <w:b/>
          <w:bCs/>
          <w:color w:val="FFFFFF"/>
          <w:kern w:val="36"/>
          <w:sz w:val="48"/>
          <w:szCs w:val="48"/>
        </w:rPr>
        <w:t>URBAN DEVELOPMENT</w:t>
      </w:r>
      <w:bookmarkEnd w:id="62"/>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63" w:name="m_2889938815520070680__Toc519521689"/>
      <w:r w:rsidRPr="00C70DBF">
        <w:rPr>
          <w:rFonts w:ascii="Calibri" w:eastAsia="Times New Roman" w:hAnsi="Calibri" w:cs="Calibri"/>
          <w:b/>
          <w:bCs/>
          <w:color w:val="800000"/>
          <w:sz w:val="22"/>
        </w:rPr>
        <w:t xml:space="preserve">Assessment of Future Urban Climate </w:t>
      </w:r>
      <w:proofErr w:type="gramStart"/>
      <w:r w:rsidRPr="00C70DBF">
        <w:rPr>
          <w:rFonts w:ascii="Calibri" w:eastAsia="Times New Roman" w:hAnsi="Calibri" w:cs="Calibri"/>
          <w:b/>
          <w:bCs/>
          <w:color w:val="800000"/>
          <w:sz w:val="22"/>
        </w:rPr>
        <w:t>After</w:t>
      </w:r>
      <w:proofErr w:type="gramEnd"/>
      <w:r w:rsidRPr="00C70DBF">
        <w:rPr>
          <w:rFonts w:ascii="Calibri" w:eastAsia="Times New Roman" w:hAnsi="Calibri" w:cs="Calibri"/>
          <w:b/>
          <w:bCs/>
          <w:color w:val="800000"/>
          <w:sz w:val="22"/>
        </w:rPr>
        <w:t xml:space="preserve"> Implementation of the City Master Plan in </w:t>
      </w:r>
      <w:proofErr w:type="spellStart"/>
      <w:r w:rsidRPr="00C70DBF">
        <w:rPr>
          <w:rFonts w:ascii="Calibri" w:eastAsia="Times New Roman" w:hAnsi="Calibri" w:cs="Calibri"/>
          <w:b/>
          <w:bCs/>
          <w:color w:val="800000"/>
          <w:sz w:val="22"/>
        </w:rPr>
        <w:t>Vinh</w:t>
      </w:r>
      <w:proofErr w:type="spellEnd"/>
      <w:r w:rsidRPr="00C70DBF">
        <w:rPr>
          <w:rFonts w:ascii="Calibri" w:eastAsia="Times New Roman" w:hAnsi="Calibri" w:cs="Calibri"/>
          <w:b/>
          <w:bCs/>
          <w:color w:val="800000"/>
          <w:sz w:val="22"/>
        </w:rPr>
        <w:t xml:space="preserve"> City, Vietnam.</w:t>
      </w:r>
      <w:bookmarkEnd w:id="63"/>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Satoru </w:t>
      </w:r>
      <w:proofErr w:type="spellStart"/>
      <w:r w:rsidRPr="00C70DBF">
        <w:rPr>
          <w:rFonts w:ascii="Arial" w:eastAsia="Times New Roman" w:hAnsi="Arial" w:cs="Arial"/>
          <w:color w:val="000000"/>
          <w:szCs w:val="24"/>
        </w:rPr>
        <w:t>Iizuka</w:t>
      </w:r>
      <w:proofErr w:type="spellEnd"/>
      <w:r w:rsidRPr="00C70DBF">
        <w:rPr>
          <w:rFonts w:ascii="Arial" w:eastAsia="Times New Roman" w:hAnsi="Arial" w:cs="Arial"/>
          <w:color w:val="000000"/>
          <w:szCs w:val="24"/>
        </w:rPr>
        <w:t xml:space="preserve">, Masato Miyata and </w:t>
      </w:r>
      <w:proofErr w:type="spellStart"/>
      <w:r w:rsidRPr="00C70DBF">
        <w:rPr>
          <w:rFonts w:ascii="Arial" w:eastAsia="Times New Roman" w:hAnsi="Arial" w:cs="Arial"/>
          <w:color w:val="000000"/>
          <w:szCs w:val="24"/>
        </w:rPr>
        <w:t>Kaede</w:t>
      </w:r>
      <w:proofErr w:type="spellEnd"/>
      <w:r w:rsidRPr="00C70DBF">
        <w:rPr>
          <w:rFonts w:ascii="Arial" w:eastAsia="Times New Roman" w:hAnsi="Arial" w:cs="Arial"/>
          <w:color w:val="000000"/>
          <w:szCs w:val="24"/>
        </w:rPr>
        <w:t xml:space="preserve"> Watanabe.</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in</w:t>
      </w:r>
      <w:proofErr w:type="gramEnd"/>
      <w:r w:rsidRPr="00C70DBF">
        <w:rPr>
          <w:rFonts w:ascii="Arial" w:eastAsia="Times New Roman" w:hAnsi="Arial" w:cs="Arial"/>
          <w:color w:val="000000"/>
          <w:szCs w:val="24"/>
        </w:rPr>
        <w:t>: Sustainable Houses and Living in the Hot-Humid Climates of Asia, Springer Singapore, Singapore, 2018, pp. 541-548.</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An attempt to project the future urban climate in the summer (a month of June) of the 2030s in </w:t>
      </w:r>
      <w:proofErr w:type="spellStart"/>
      <w:r w:rsidRPr="00C70DBF">
        <w:rPr>
          <w:rFonts w:ascii="Arial" w:eastAsia="Times New Roman" w:hAnsi="Arial" w:cs="Arial"/>
          <w:color w:val="000000"/>
          <w:szCs w:val="24"/>
        </w:rPr>
        <w:t>Vinh</w:t>
      </w:r>
      <w:proofErr w:type="spellEnd"/>
      <w:r w:rsidRPr="00C70DBF">
        <w:rPr>
          <w:rFonts w:ascii="Arial" w:eastAsia="Times New Roman" w:hAnsi="Arial" w:cs="Arial"/>
          <w:color w:val="000000"/>
          <w:szCs w:val="24"/>
        </w:rPr>
        <w:t xml:space="preserve"> City, Vietnam, using a regional atmospheric model, the Weather Research and Forecasting (WRF) model, is introduced in this chapter. A city master plan for </w:t>
      </w:r>
      <w:proofErr w:type="spellStart"/>
      <w:r w:rsidRPr="00C70DBF">
        <w:rPr>
          <w:rFonts w:ascii="Arial" w:eastAsia="Times New Roman" w:hAnsi="Arial" w:cs="Arial"/>
          <w:color w:val="000000"/>
          <w:szCs w:val="24"/>
        </w:rPr>
        <w:t>Vinh</w:t>
      </w:r>
      <w:proofErr w:type="spellEnd"/>
      <w:r w:rsidRPr="00C70DBF">
        <w:rPr>
          <w:rFonts w:ascii="Arial" w:eastAsia="Times New Roman" w:hAnsi="Arial" w:cs="Arial"/>
          <w:color w:val="000000"/>
          <w:szCs w:val="24"/>
        </w:rPr>
        <w:t xml:space="preserve"> City proposed by a Japanese civil engineering consulting company, Nikken </w:t>
      </w:r>
      <w:proofErr w:type="spellStart"/>
      <w:r w:rsidRPr="00C70DBF">
        <w:rPr>
          <w:rFonts w:ascii="Arial" w:eastAsia="Times New Roman" w:hAnsi="Arial" w:cs="Arial"/>
          <w:color w:val="000000"/>
          <w:szCs w:val="24"/>
        </w:rPr>
        <w:t>Sekkei</w:t>
      </w:r>
      <w:proofErr w:type="spellEnd"/>
      <w:r w:rsidRPr="00C70DBF">
        <w:rPr>
          <w:rFonts w:ascii="Arial" w:eastAsia="Times New Roman" w:hAnsi="Arial" w:cs="Arial"/>
          <w:color w:val="000000"/>
          <w:szCs w:val="24"/>
        </w:rPr>
        <w:t xml:space="preserve"> Civil Engineering Ltd., is incorporated into the future projections. The proposed city master plan targets the year 2030, with a population of 900,000, and the total planning area covers approximately 250 km2. Particularly, in the future projections, the effects of future global warming and introducing the proposed city master plan on the urban climate in </w:t>
      </w:r>
      <w:proofErr w:type="spellStart"/>
      <w:r w:rsidRPr="00C70DBF">
        <w:rPr>
          <w:rFonts w:ascii="Arial" w:eastAsia="Times New Roman" w:hAnsi="Arial" w:cs="Arial"/>
          <w:color w:val="000000"/>
          <w:szCs w:val="24"/>
        </w:rPr>
        <w:t>Vinh</w:t>
      </w:r>
      <w:proofErr w:type="spellEnd"/>
      <w:r w:rsidRPr="00C70DBF">
        <w:rPr>
          <w:rFonts w:ascii="Arial" w:eastAsia="Times New Roman" w:hAnsi="Arial" w:cs="Arial"/>
          <w:color w:val="000000"/>
          <w:szCs w:val="24"/>
        </w:rPr>
        <w:t xml:space="preserve"> City are quantitatively discussed. Moreover, the impacts of concentrating and decentralizing urban districts in the city master plan on the urban climate are numerically clarified.</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64" w:name="m_2889938815520070680__Toc519521690"/>
      <w:r w:rsidRPr="00C70DBF">
        <w:rPr>
          <w:rFonts w:ascii="Arial" w:eastAsia="Times New Roman" w:hAnsi="Arial" w:cs="Arial"/>
          <w:b/>
          <w:bCs/>
          <w:color w:val="FFFFFF"/>
          <w:kern w:val="36"/>
          <w:sz w:val="48"/>
          <w:szCs w:val="48"/>
        </w:rPr>
        <w:t>LABOR</w:t>
      </w:r>
      <w:bookmarkEnd w:id="64"/>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65" w:name="m_2889938815520070680__Toc519521691"/>
      <w:r w:rsidRPr="00C70DBF">
        <w:rPr>
          <w:rFonts w:ascii="Calibri" w:eastAsia="Times New Roman" w:hAnsi="Calibri" w:cs="Calibri"/>
          <w:b/>
          <w:bCs/>
          <w:color w:val="800000"/>
          <w:sz w:val="22"/>
        </w:rPr>
        <w:t>CSR Participation Committees, Wildcat Strikes and the Sourcing Squeeze in Global Supply Chains.</w:t>
      </w:r>
      <w:bookmarkEnd w:id="65"/>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Mark </w:t>
      </w:r>
      <w:proofErr w:type="spellStart"/>
      <w:r w:rsidRPr="00C70DBF">
        <w:rPr>
          <w:rFonts w:ascii="Arial" w:eastAsia="Times New Roman" w:hAnsi="Arial" w:cs="Arial"/>
          <w:color w:val="000000"/>
          <w:szCs w:val="24"/>
        </w:rPr>
        <w:t>Anner</w:t>
      </w:r>
      <w:proofErr w:type="spellEnd"/>
      <w:r w:rsidRPr="00C70DBF">
        <w:rPr>
          <w:rFonts w:ascii="Arial" w:eastAsia="Times New Roman" w:hAnsi="Arial" w:cs="Arial"/>
          <w:color w:val="000000"/>
          <w:szCs w:val="24"/>
        </w:rPr>
        <w:t>. British Journal of Industrial Relations, 2018, volume 56, number 1.</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Lead firms in apparel global supply chains are increasingly using social compliance </w:t>
      </w:r>
      <w:proofErr w:type="spellStart"/>
      <w:r w:rsidRPr="00C70DBF">
        <w:rPr>
          <w:rFonts w:ascii="Arial" w:eastAsia="Times New Roman" w:hAnsi="Arial" w:cs="Arial"/>
          <w:color w:val="000000"/>
          <w:szCs w:val="24"/>
        </w:rPr>
        <w:t>programmes</w:t>
      </w:r>
      <w:proofErr w:type="spellEnd"/>
      <w:r w:rsidRPr="00C70DBF">
        <w:rPr>
          <w:rFonts w:ascii="Arial" w:eastAsia="Times New Roman" w:hAnsi="Arial" w:cs="Arial"/>
          <w:color w:val="000000"/>
          <w:szCs w:val="24"/>
        </w:rPr>
        <w:t xml:space="preserve"> that require worker-management participation committees in their supplier factories. These committees are designed to ensure respect for </w:t>
      </w:r>
      <w:r w:rsidRPr="00C70DBF">
        <w:rPr>
          <w:rFonts w:ascii="Arial" w:eastAsia="Times New Roman" w:hAnsi="Arial" w:cs="Arial"/>
          <w:color w:val="000000"/>
          <w:szCs w:val="24"/>
        </w:rPr>
        <w:lastRenderedPageBreak/>
        <w:t xml:space="preserve">internationally recognized </w:t>
      </w:r>
      <w:proofErr w:type="spellStart"/>
      <w:r w:rsidRPr="00C70DBF">
        <w:rPr>
          <w:rFonts w:ascii="Arial" w:eastAsia="Times New Roman" w:hAnsi="Arial" w:cs="Arial"/>
          <w:color w:val="000000"/>
          <w:szCs w:val="24"/>
        </w:rPr>
        <w:t>labour</w:t>
      </w:r>
      <w:proofErr w:type="spellEnd"/>
      <w:r w:rsidRPr="00C70DBF">
        <w:rPr>
          <w:rFonts w:ascii="Arial" w:eastAsia="Times New Roman" w:hAnsi="Arial" w:cs="Arial"/>
          <w:color w:val="000000"/>
          <w:szCs w:val="24"/>
        </w:rPr>
        <w:t xml:space="preserve"> standards, to empower workers, and to reduce </w:t>
      </w:r>
      <w:proofErr w:type="spellStart"/>
      <w:r w:rsidRPr="00C70DBF">
        <w:rPr>
          <w:rFonts w:ascii="Arial" w:eastAsia="Times New Roman" w:hAnsi="Arial" w:cs="Arial"/>
          <w:color w:val="000000"/>
          <w:szCs w:val="24"/>
        </w:rPr>
        <w:t>labour</w:t>
      </w:r>
      <w:proofErr w:type="spellEnd"/>
      <w:r w:rsidRPr="00C70DBF">
        <w:rPr>
          <w:rFonts w:ascii="Arial" w:eastAsia="Times New Roman" w:hAnsi="Arial" w:cs="Arial"/>
          <w:color w:val="000000"/>
          <w:szCs w:val="24"/>
        </w:rPr>
        <w:t xml:space="preserve"> unrest. However, these committees have remained weak, and in countries such as Vietnam worker unrest remains common. This article argues that this is because lead firms in these CSR </w:t>
      </w:r>
      <w:proofErr w:type="spellStart"/>
      <w:r w:rsidRPr="00C70DBF">
        <w:rPr>
          <w:rFonts w:ascii="Arial" w:eastAsia="Times New Roman" w:hAnsi="Arial" w:cs="Arial"/>
          <w:color w:val="000000"/>
          <w:szCs w:val="24"/>
        </w:rPr>
        <w:t>programmes</w:t>
      </w:r>
      <w:proofErr w:type="spellEnd"/>
      <w:r w:rsidRPr="00C70DBF">
        <w:rPr>
          <w:rFonts w:ascii="Arial" w:eastAsia="Times New Roman" w:hAnsi="Arial" w:cs="Arial"/>
          <w:color w:val="000000"/>
          <w:szCs w:val="24"/>
        </w:rPr>
        <w:t xml:space="preserve"> are imposing a 'sourcing squeeze' on supplier factors by reducing the prices and production times they allot to their suppliers, which undermines efforts by committees to address cost-sensitive issues and overtime violations. At the same time, the sourcing </w:t>
      </w:r>
      <w:proofErr w:type="gramStart"/>
      <w:r w:rsidRPr="00C70DBF">
        <w:rPr>
          <w:rFonts w:ascii="Arial" w:eastAsia="Times New Roman" w:hAnsi="Arial" w:cs="Arial"/>
          <w:color w:val="000000"/>
          <w:szCs w:val="24"/>
        </w:rPr>
        <w:t>squeeze</w:t>
      </w:r>
      <w:proofErr w:type="gramEnd"/>
      <w:r w:rsidRPr="00C70DBF">
        <w:rPr>
          <w:rFonts w:ascii="Arial" w:eastAsia="Times New Roman" w:hAnsi="Arial" w:cs="Arial"/>
          <w:color w:val="000000"/>
          <w:szCs w:val="24"/>
        </w:rPr>
        <w:t xml:space="preserve"> increases strike leverage, providing workers with a much more effective source of worker voice.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66" w:name="m_2889938815520070680__Toc519521692"/>
      <w:r w:rsidRPr="00C70DBF">
        <w:rPr>
          <w:rFonts w:ascii="Calibri" w:eastAsia="Times New Roman" w:hAnsi="Calibri" w:cs="Calibri"/>
          <w:b/>
          <w:bCs/>
          <w:color w:val="800000"/>
          <w:sz w:val="22"/>
        </w:rPr>
        <w:t>Export Markets and Labor Allocation in a Low-income Country.</w:t>
      </w:r>
      <w:bookmarkEnd w:id="66"/>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 xml:space="preserve">Brian </w:t>
      </w:r>
      <w:proofErr w:type="spellStart"/>
      <w:r w:rsidRPr="00C70DBF">
        <w:rPr>
          <w:rFonts w:ascii="Arial" w:eastAsia="Times New Roman" w:hAnsi="Arial" w:cs="Arial"/>
          <w:color w:val="000000"/>
          <w:szCs w:val="24"/>
        </w:rPr>
        <w:t>McCaig</w:t>
      </w:r>
      <w:proofErr w:type="spellEnd"/>
      <w:r w:rsidRPr="00C70DBF">
        <w:rPr>
          <w:rFonts w:ascii="Arial" w:eastAsia="Times New Roman" w:hAnsi="Arial" w:cs="Arial"/>
          <w:color w:val="000000"/>
          <w:szCs w:val="24"/>
        </w:rPr>
        <w:t xml:space="preserve"> and Nina </w:t>
      </w:r>
      <w:proofErr w:type="spellStart"/>
      <w:r w:rsidRPr="00C70DBF">
        <w:rPr>
          <w:rFonts w:ascii="Arial" w:eastAsia="Times New Roman" w:hAnsi="Arial" w:cs="Arial"/>
          <w:color w:val="000000"/>
          <w:szCs w:val="24"/>
        </w:rPr>
        <w:t>Pavcnik</w:t>
      </w:r>
      <w:proofErr w:type="spellEnd"/>
      <w:r w:rsidRPr="00C70DBF">
        <w:rPr>
          <w:rFonts w:ascii="Arial" w:eastAsia="Times New Roman" w:hAnsi="Arial" w:cs="Arial"/>
          <w:color w:val="000000"/>
          <w:szCs w:val="24"/>
        </w:rPr>
        <w:t>.</w:t>
      </w:r>
      <w:proofErr w:type="gramEnd"/>
      <w:r w:rsidRPr="00C70DBF">
        <w:rPr>
          <w:rFonts w:ascii="Arial" w:eastAsia="Times New Roman" w:hAnsi="Arial" w:cs="Arial"/>
          <w:color w:val="000000"/>
          <w:szCs w:val="24"/>
        </w:rPr>
        <w:t xml:space="preserve"> American Economic Review, 2018, volume 108, number 7.</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We study the effects of a positive export shock on labor allocation between the informal, microenterprise sector and the formal firm sector in a low-income country. The United States-Vietnam Bilateral Trade Agreement led to large reductions in US tariffs on Vietnamese exports. We find that the share of manufacturing workers in Vietnam in the formal sector increased by 5 percentage points in response to the US tariff reductions. The reallocation was greater for workers in more internationally integrated provinces and for younger cohorts. We estimate the gap in labor productivity within manufacturing across the informal and formal sectors. This gap and the aggregate labor productivity gain from the export-induced reallocation of workers across the two sectors are reduced when we account for worker heterogeneity, measurement error, and differences in labor intensity of production.</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67" w:name="m_2889938815520070680__Toc519521693"/>
      <w:r w:rsidRPr="00C70DBF">
        <w:rPr>
          <w:rFonts w:ascii="Calibri" w:eastAsia="Times New Roman" w:hAnsi="Calibri" w:cs="Calibri"/>
          <w:b/>
          <w:bCs/>
          <w:color w:val="800000"/>
          <w:sz w:val="22"/>
        </w:rPr>
        <w:t>Labor Market Conditions and Cultural Change: Evidence from Vietnam.</w:t>
      </w:r>
      <w:bookmarkEnd w:id="67"/>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Louise A. Grogan. </w:t>
      </w:r>
      <w:proofErr w:type="gramStart"/>
      <w:r w:rsidRPr="00C70DBF">
        <w:rPr>
          <w:rFonts w:ascii="Arial" w:eastAsia="Times New Roman" w:hAnsi="Arial" w:cs="Arial"/>
          <w:color w:val="000000"/>
          <w:szCs w:val="24"/>
        </w:rPr>
        <w:t>Journal of Human Capital, 2018, volume 12, number 1.</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paper relates strategic parental fertility behavior and early-childhood human capital investments to prospective labor market opportunities in Vietnam. Suitability of land for plow adoption is shown to influence both traditional </w:t>
      </w:r>
      <w:proofErr w:type="spellStart"/>
      <w:r w:rsidRPr="00C70DBF">
        <w:rPr>
          <w:rFonts w:ascii="Arial" w:eastAsia="Times New Roman" w:hAnsi="Arial" w:cs="Arial"/>
          <w:color w:val="000000"/>
          <w:szCs w:val="24"/>
        </w:rPr>
        <w:t>postmarital</w:t>
      </w:r>
      <w:proofErr w:type="spellEnd"/>
      <w:r w:rsidRPr="00C70DBF">
        <w:rPr>
          <w:rFonts w:ascii="Arial" w:eastAsia="Times New Roman" w:hAnsi="Arial" w:cs="Arial"/>
          <w:color w:val="000000"/>
          <w:szCs w:val="24"/>
        </w:rPr>
        <w:t xml:space="preserve"> residence rules and contemporary under-5 sex ratios. A quasi-natural experiment identifies causal impacts of the sex of a woman's first-born child on fertility and under-5 mortality across household types with historically different relative productivity of the sexes in agriculture. Impacts vary across household type for rural but not for second-generation urban women. Cultural heterogeneity attributable to relative productivity in preindustrial societies is strongly mitigated by rural-urban migration.</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41"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68" w:name="m_2889938815520070680__Toc519521694"/>
      <w:r w:rsidRPr="00C70DBF">
        <w:rPr>
          <w:rFonts w:ascii="Arial" w:eastAsia="Times New Roman" w:hAnsi="Arial" w:cs="Arial"/>
          <w:b/>
          <w:bCs/>
          <w:color w:val="FFFFFF"/>
          <w:kern w:val="36"/>
          <w:sz w:val="48"/>
          <w:szCs w:val="48"/>
        </w:rPr>
        <w:t>SOCIAL DEVELOPMENT</w:t>
      </w:r>
      <w:bookmarkEnd w:id="68"/>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69" w:name="m_2889938815520070680__Toc519521695"/>
      <w:proofErr w:type="gramStart"/>
      <w:r w:rsidRPr="00C70DBF">
        <w:rPr>
          <w:rFonts w:ascii="Calibri" w:eastAsia="Times New Roman" w:hAnsi="Calibri" w:cs="Calibri"/>
          <w:b/>
          <w:bCs/>
          <w:color w:val="800000"/>
          <w:sz w:val="22"/>
        </w:rPr>
        <w:t>Measurement and Determinants of Quality of Life of Older Adults in Ho Chi Minh City, Vietnam.</w:t>
      </w:r>
      <w:bookmarkEnd w:id="69"/>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Nam Xuan </w:t>
      </w:r>
      <w:proofErr w:type="gramStart"/>
      <w:r w:rsidRPr="00C70DBF">
        <w:rPr>
          <w:rFonts w:ascii="Arial" w:eastAsia="Times New Roman" w:hAnsi="Arial" w:cs="Arial"/>
          <w:color w:val="000000"/>
          <w:szCs w:val="24"/>
        </w:rPr>
        <w:t>Vo</w:t>
      </w:r>
      <w:proofErr w:type="gram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Trung</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Quang</w:t>
      </w:r>
      <w:proofErr w:type="spellEnd"/>
      <w:r w:rsidRPr="00C70DBF">
        <w:rPr>
          <w:rFonts w:ascii="Arial" w:eastAsia="Times New Roman" w:hAnsi="Arial" w:cs="Arial"/>
          <w:color w:val="000000"/>
          <w:szCs w:val="24"/>
        </w:rPr>
        <w:t xml:space="preserve"> Vo, </w:t>
      </w:r>
      <w:proofErr w:type="spellStart"/>
      <w:r w:rsidRPr="00C70DBF">
        <w:rPr>
          <w:rFonts w:ascii="Arial" w:eastAsia="Times New Roman" w:hAnsi="Arial" w:cs="Arial"/>
          <w:color w:val="000000"/>
          <w:szCs w:val="24"/>
        </w:rPr>
        <w:t>Somtip</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Watanapongvanich</w:t>
      </w:r>
      <w:proofErr w:type="spellEnd"/>
      <w:r w:rsidRPr="00C70DBF">
        <w:rPr>
          <w:rFonts w:ascii="Arial" w:eastAsia="Times New Roman" w:hAnsi="Arial" w:cs="Arial"/>
          <w:color w:val="000000"/>
          <w:szCs w:val="24"/>
        </w:rPr>
        <w:t xml:space="preserve"> and </w:t>
      </w:r>
      <w:proofErr w:type="spellStart"/>
      <w:r w:rsidRPr="00C70DBF">
        <w:rPr>
          <w:rFonts w:ascii="Arial" w:eastAsia="Times New Roman" w:hAnsi="Arial" w:cs="Arial"/>
          <w:color w:val="000000"/>
          <w:szCs w:val="24"/>
        </w:rPr>
        <w:t>Nopphol</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Witvorapong</w:t>
      </w:r>
      <w:proofErr w:type="spell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Social Indicators Research,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This study represents the first study using Vietnamese data that is based on the World Health Organization’s quality of life instrument—the older </w:t>
      </w:r>
      <w:proofErr w:type="gramStart"/>
      <w:r w:rsidRPr="00C70DBF">
        <w:rPr>
          <w:rFonts w:ascii="Arial" w:eastAsia="Times New Roman" w:hAnsi="Arial" w:cs="Arial"/>
          <w:color w:val="000000"/>
          <w:szCs w:val="24"/>
        </w:rPr>
        <w:t>adults</w:t>
      </w:r>
      <w:proofErr w:type="gramEnd"/>
      <w:r w:rsidRPr="00C70DBF">
        <w:rPr>
          <w:rFonts w:ascii="Arial" w:eastAsia="Times New Roman" w:hAnsi="Arial" w:cs="Arial"/>
          <w:color w:val="000000"/>
          <w:szCs w:val="24"/>
        </w:rPr>
        <w:t xml:space="preserve"> module (WHOQOL-OLD). With the instrument, the study measures quality of life of a sample of 442 older adults living in Ho Chi Minh City, Vietnam, in 2015. It evaluates the instrument’s psychometric properties and identifies determinants of quality of life. The results suggest that the level of quality of life of older adults in Ho Chi Minh City was quite high, with the total transformed score (scaled between 0 and 100) of 76.62 ± 10.16. The Vietnamese version of the WHOQOL-OLD module shows internal consistency with a high overall Cronbach’s Alpha coefficient and high corrected item-total correlations, construct validity with a reasonable goodness of fit based on a six-factor Confirmatory Factor Analysis model, and content validity with statistically significant facet–facet and item-facet correlation coefficients. Using Ordinary Least Squares and Tobit models, quality of life of older adults in Ho Chi Minh City is found to be associated negatively with age, education, and the number of difficulties with activities of daily living, and associated positively with perceived income adequacy (i.e., whether an older person considered his/her income to be sufficient). The analyses suggest that interventions related to improvements of functional health and standard of living could enhance quality of life in old age in Ho Chi Minh City, Vietnam.</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70" w:name="m_2889938815520070680__Toc519521696"/>
      <w:r w:rsidRPr="00C70DBF">
        <w:rPr>
          <w:rFonts w:ascii="Calibri" w:eastAsia="Times New Roman" w:hAnsi="Calibri" w:cs="Calibri"/>
          <w:b/>
          <w:bCs/>
          <w:color w:val="800000"/>
          <w:sz w:val="22"/>
        </w:rPr>
        <w:t>Engaging employees with disabilities in Vietnamese business context: The roles of disability inclusive HR practices and mediation and moderation mechanisms.</w:t>
      </w:r>
      <w:bookmarkEnd w:id="70"/>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Tuan </w:t>
      </w:r>
      <w:proofErr w:type="spellStart"/>
      <w:r w:rsidRPr="00C70DBF">
        <w:rPr>
          <w:rFonts w:ascii="Arial" w:eastAsia="Times New Roman" w:hAnsi="Arial" w:cs="Arial"/>
          <w:color w:val="000000"/>
          <w:szCs w:val="24"/>
        </w:rPr>
        <w:t>Trong</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Luu</w:t>
      </w:r>
      <w:proofErr w:type="spellEnd"/>
      <w:r w:rsidRPr="00C70DBF">
        <w:rPr>
          <w:rFonts w:ascii="Arial" w:eastAsia="Times New Roman" w:hAnsi="Arial" w:cs="Arial"/>
          <w:color w:val="000000"/>
          <w:szCs w:val="24"/>
        </w:rPr>
        <w:t>, 2018.</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Purpose: There has been a growing number, though still modest, of organizations in Vietnam context that hire employees with disabilities and build disability inclusive management practices and disability diversity climate for them to engage in </w:t>
      </w:r>
      <w:r w:rsidRPr="00C70DBF">
        <w:rPr>
          <w:rFonts w:ascii="Arial" w:eastAsia="Times New Roman" w:hAnsi="Arial" w:cs="Arial"/>
          <w:color w:val="000000"/>
          <w:szCs w:val="24"/>
        </w:rPr>
        <w:lastRenderedPageBreak/>
        <w:t>their work roles. The purpose of this paper is to investigate how disability inclusive HR practices contribute to work engagement of employees with disabilities working in Vietnam-based information technology (IT) industry. --- Design/methodology/approach: The research model was tested through the data collected from employees with disabilities and their direct supervisors from IT companies based in Vietnam. --- Findings: The data analysis revealed that disability inclusive HR practices influenced employees with disabilities to engage in their work activities through organizational identification as a mediator. Moral leadership exhibited a positive interactive effect with disability inclusive HR practices in promoting organizational identification of employees with disabilities and, in turn, their work engagement. In addition, employees’ idiosyncratic deals were found to serve as an individual enhancer for the link between their organizational identification and work engagement. --- Originality/value: This research sets a milestone for more empirical inquiries on disability-oriented antecedents at both organizational and individual levels that can foster work engagement of employees with disabilities.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42"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71" w:name="m_2889938815520070680__Toc519521697"/>
      <w:r w:rsidRPr="00C70DBF">
        <w:rPr>
          <w:rFonts w:ascii="Arial" w:eastAsia="Times New Roman" w:hAnsi="Arial" w:cs="Arial"/>
          <w:b/>
          <w:bCs/>
          <w:color w:val="FFFFFF"/>
          <w:kern w:val="36"/>
          <w:sz w:val="48"/>
          <w:szCs w:val="48"/>
        </w:rPr>
        <w:t>TOURISM</w:t>
      </w:r>
      <w:bookmarkEnd w:id="71"/>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72" w:name="m_2889938815520070680__Toc519521698"/>
      <w:proofErr w:type="gramStart"/>
      <w:r w:rsidRPr="00C70DBF">
        <w:rPr>
          <w:rFonts w:ascii="Calibri" w:eastAsia="Times New Roman" w:hAnsi="Calibri" w:cs="Calibri"/>
          <w:b/>
          <w:bCs/>
          <w:color w:val="800000"/>
          <w:sz w:val="22"/>
        </w:rPr>
        <w:t>Assessing sustainable tourism in Vietnam: A hierarchical structure approach.</w:t>
      </w:r>
      <w:bookmarkEnd w:id="72"/>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Ming-Lang Tseng, </w:t>
      </w:r>
      <w:proofErr w:type="spellStart"/>
      <w:r w:rsidRPr="00C70DBF">
        <w:rPr>
          <w:rFonts w:ascii="Arial" w:eastAsia="Times New Roman" w:hAnsi="Arial" w:cs="Arial"/>
          <w:color w:val="000000"/>
          <w:szCs w:val="24"/>
        </w:rPr>
        <w:t>Kuo-Jui</w:t>
      </w:r>
      <w:proofErr w:type="spellEnd"/>
      <w:r w:rsidRPr="00C70DBF">
        <w:rPr>
          <w:rFonts w:ascii="Arial" w:eastAsia="Times New Roman" w:hAnsi="Arial" w:cs="Arial"/>
          <w:color w:val="000000"/>
          <w:szCs w:val="24"/>
        </w:rPr>
        <w:t xml:space="preserve"> Wu, Chia-</w:t>
      </w:r>
      <w:proofErr w:type="spellStart"/>
      <w:r w:rsidRPr="00C70DBF">
        <w:rPr>
          <w:rFonts w:ascii="Arial" w:eastAsia="Times New Roman" w:hAnsi="Arial" w:cs="Arial"/>
          <w:color w:val="000000"/>
          <w:szCs w:val="24"/>
        </w:rPr>
        <w:t>Hao</w:t>
      </w:r>
      <w:proofErr w:type="spellEnd"/>
      <w:r w:rsidRPr="00C70DBF">
        <w:rPr>
          <w:rFonts w:ascii="Arial" w:eastAsia="Times New Roman" w:hAnsi="Arial" w:cs="Arial"/>
          <w:color w:val="000000"/>
          <w:szCs w:val="24"/>
        </w:rPr>
        <w:t xml:space="preserve"> Lee, Ming K. Lim, Tat-</w:t>
      </w:r>
      <w:proofErr w:type="spellStart"/>
      <w:r w:rsidRPr="00C70DBF">
        <w:rPr>
          <w:rFonts w:ascii="Arial" w:eastAsia="Times New Roman" w:hAnsi="Arial" w:cs="Arial"/>
          <w:color w:val="000000"/>
          <w:szCs w:val="24"/>
        </w:rPr>
        <w:t>Dat</w:t>
      </w:r>
      <w:proofErr w:type="spellEnd"/>
      <w:r w:rsidRPr="00C70DBF">
        <w:rPr>
          <w:rFonts w:ascii="Arial" w:eastAsia="Times New Roman" w:hAnsi="Arial" w:cs="Arial"/>
          <w:color w:val="000000"/>
          <w:szCs w:val="24"/>
        </w:rPr>
        <w:t xml:space="preserve"> Bui and others. </w:t>
      </w:r>
      <w:proofErr w:type="gramStart"/>
      <w:r w:rsidRPr="00C70DBF">
        <w:rPr>
          <w:rFonts w:ascii="Arial" w:eastAsia="Times New Roman" w:hAnsi="Arial" w:cs="Arial"/>
          <w:color w:val="000000"/>
          <w:szCs w:val="24"/>
        </w:rPr>
        <w:t>Journal of Cleaner Production, 2018, volume 195.</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Sustainable tourism has been receiving increasing attention from the academic and business sectors due to uncertainty, environmental pollution, and the delivery of uncreative tourism products and fragmented, temporary and inadequate services. However, due to the uncertainties, collaboration is a critical attribute in the tourism industry in terms of sustainability. Although many attributes have been addressed in the literature, a comprehensive measurement structure remains unexplored in this sector. This study attempts to evaluate the causal inter-relationships among the attributes, explore the hierarchical inter-relationships and identify the powers that drive dependence among the attributes to improve sustainable performance by employing a combined method of fuzzy set theory, a decision-making trial and evaluation and interpretive structural modeling. A set of four aspects—socio-cultures, economics, environments, and collaborations—that include 24 criteria are introduced from the literature and are based on experts' opinions. The results obtained show that collaboration is the strongest causal attribute driving the others in sustainable tourism, </w:t>
      </w:r>
      <w:r w:rsidRPr="00C70DBF">
        <w:rPr>
          <w:rFonts w:ascii="Arial" w:eastAsia="Times New Roman" w:hAnsi="Arial" w:cs="Arial"/>
          <w:color w:val="000000"/>
          <w:szCs w:val="24"/>
        </w:rPr>
        <w:lastRenderedPageBreak/>
        <w:t>revealing that community well-being, guest cultures, information sharing, transparency, and incentive alignment have exhibited the greatest levels of driving and dependence power in the structure of the industry. These attributes are the most effective at enhancing the industry's sustainable performance. In addition, theoretical and managerial implications are discussed to enhance the value of our findings.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73" w:name="m_2889938815520070680__Toc519521699"/>
      <w:r w:rsidRPr="00C70DBF">
        <w:rPr>
          <w:rFonts w:ascii="Calibri" w:eastAsia="Times New Roman" w:hAnsi="Calibri" w:cs="Calibri"/>
          <w:b/>
          <w:bCs/>
          <w:color w:val="800000"/>
          <w:sz w:val="22"/>
        </w:rPr>
        <w:t>Exposure to air pollutants in Vietnam: Assessing potential risk for tourists.</w:t>
      </w:r>
      <w:bookmarkEnd w:id="73"/>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proofErr w:type="gramStart"/>
      <w:r w:rsidRPr="00C70DBF">
        <w:rPr>
          <w:rFonts w:ascii="Arial" w:eastAsia="Times New Roman" w:hAnsi="Arial" w:cs="Arial"/>
          <w:color w:val="000000"/>
          <w:szCs w:val="24"/>
        </w:rPr>
        <w:t>Pallavi</w:t>
      </w:r>
      <w:proofErr w:type="spellEnd"/>
      <w:r w:rsidRPr="00C70DBF">
        <w:rPr>
          <w:rFonts w:ascii="Arial" w:eastAsia="Times New Roman" w:hAnsi="Arial" w:cs="Arial"/>
          <w:color w:val="000000"/>
          <w:szCs w:val="24"/>
        </w:rPr>
        <w:t xml:space="preserve"> Pant, Whitney Huynh and Richard E. Peltier.</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Journal of Environmental Sciences,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Tourism can form an important component of a nation's GDP, and Vietnam is among the most visited countries in Southeast Asia. Most studies on personal exposure focus on the general population, or occupational cohorts with exposure to specific pollutants. However, short-term exposure to air pollutants while visiting regions with high levels of air pollution can lead to acute health effects. A personal exposure study was conducted across three cities in Vietnam to estimate exposure to particulate matter (PM2.5) and black carbon for tourists. Measurements were conducted during the wet season in 2014 in Ho Chi Minh City, Da </w:t>
      </w:r>
      <w:proofErr w:type="spellStart"/>
      <w:r w:rsidRPr="00C70DBF">
        <w:rPr>
          <w:rFonts w:ascii="Arial" w:eastAsia="Times New Roman" w:hAnsi="Arial" w:cs="Arial"/>
          <w:color w:val="000000"/>
          <w:szCs w:val="24"/>
        </w:rPr>
        <w:t>Lat</w:t>
      </w:r>
      <w:proofErr w:type="spellEnd"/>
      <w:r w:rsidRPr="00C70DBF">
        <w:rPr>
          <w:rFonts w:ascii="Arial" w:eastAsia="Times New Roman" w:hAnsi="Arial" w:cs="Arial"/>
          <w:color w:val="000000"/>
          <w:szCs w:val="24"/>
        </w:rPr>
        <w:t xml:space="preserve"> and </w:t>
      </w:r>
      <w:proofErr w:type="spellStart"/>
      <w:r w:rsidRPr="00C70DBF">
        <w:rPr>
          <w:rFonts w:ascii="Arial" w:eastAsia="Times New Roman" w:hAnsi="Arial" w:cs="Arial"/>
          <w:color w:val="000000"/>
          <w:szCs w:val="24"/>
        </w:rPr>
        <w:t>Nha</w:t>
      </w:r>
      <w:proofErr w:type="spellEnd"/>
      <w:r w:rsidRPr="00C70DBF">
        <w:rPr>
          <w:rFonts w:ascii="Arial" w:eastAsia="Times New Roman" w:hAnsi="Arial" w:cs="Arial"/>
          <w:color w:val="000000"/>
          <w:szCs w:val="24"/>
        </w:rPr>
        <w:t xml:space="preserve"> Trang using portable instrumentation. Average 24-hr PM2.5 and BC exposures were estimated as 18.9±9.24 and 3.41±1.33μg/m3 and among the three cities, Ho Chi Minh was found to have the highest PM2.5 concentrations. Environmental tobacco smoke, commuting and street food stands were found to contribute to highest levels of exposure to PM2.5 and BC across all cities.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hyperlink r:id="rId43" w:anchor="m_2889938815520070680__top" w:history="1">
        <w:hyperlink w:anchor="_top" w:history="1">
          <w:r w:rsidR="00A028EE">
            <w:rPr>
              <w:rStyle w:val="Hyperlink"/>
            </w:rPr>
            <w:t>Back to top</w:t>
          </w:r>
        </w:hyperlink>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hd w:val="clear" w:color="auto" w:fill="2F5496"/>
        <w:spacing w:after="100" w:afterAutospacing="1" w:line="240" w:lineRule="auto"/>
        <w:outlineLvl w:val="0"/>
        <w:rPr>
          <w:rFonts w:ascii="Arial" w:eastAsia="Times New Roman" w:hAnsi="Arial" w:cs="Arial"/>
          <w:b/>
          <w:bCs/>
          <w:color w:val="000000"/>
          <w:kern w:val="36"/>
          <w:sz w:val="48"/>
          <w:szCs w:val="48"/>
        </w:rPr>
      </w:pPr>
      <w:bookmarkStart w:id="74" w:name="m_2889938815520070680__Toc519521700"/>
      <w:r w:rsidRPr="00C70DBF">
        <w:rPr>
          <w:rFonts w:ascii="Arial" w:eastAsia="Times New Roman" w:hAnsi="Arial" w:cs="Arial"/>
          <w:b/>
          <w:bCs/>
          <w:color w:val="FFFFFF"/>
          <w:kern w:val="36"/>
          <w:sz w:val="48"/>
          <w:szCs w:val="48"/>
        </w:rPr>
        <w:t>WATER</w:t>
      </w:r>
      <w:bookmarkEnd w:id="74"/>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75" w:name="m_2889938815520070680__Toc519521701"/>
      <w:r w:rsidRPr="00C70DBF">
        <w:rPr>
          <w:rFonts w:ascii="Calibri" w:eastAsia="Times New Roman" w:hAnsi="Calibri" w:cs="Calibri"/>
          <w:b/>
          <w:bCs/>
          <w:color w:val="800000"/>
          <w:sz w:val="22"/>
        </w:rPr>
        <w:t xml:space="preserve">Acceptance Factors of Appropriate Technology: Case of Water Purification Systems in </w:t>
      </w:r>
      <w:proofErr w:type="spellStart"/>
      <w:r w:rsidRPr="00C70DBF">
        <w:rPr>
          <w:rFonts w:ascii="Calibri" w:eastAsia="Times New Roman" w:hAnsi="Calibri" w:cs="Calibri"/>
          <w:b/>
          <w:bCs/>
          <w:color w:val="800000"/>
          <w:sz w:val="22"/>
        </w:rPr>
        <w:t>Binh</w:t>
      </w:r>
      <w:proofErr w:type="spellEnd"/>
      <w:r w:rsidRPr="00C70DBF">
        <w:rPr>
          <w:rFonts w:ascii="Calibri" w:eastAsia="Times New Roman" w:hAnsi="Calibri" w:cs="Calibri"/>
          <w:b/>
          <w:bCs/>
          <w:color w:val="800000"/>
          <w:sz w:val="22"/>
        </w:rPr>
        <w:t xml:space="preserve"> </w:t>
      </w:r>
      <w:proofErr w:type="spellStart"/>
      <w:r w:rsidRPr="00C70DBF">
        <w:rPr>
          <w:rFonts w:ascii="Calibri" w:eastAsia="Times New Roman" w:hAnsi="Calibri" w:cs="Calibri"/>
          <w:b/>
          <w:bCs/>
          <w:color w:val="800000"/>
          <w:sz w:val="22"/>
        </w:rPr>
        <w:t>Dinh</w:t>
      </w:r>
      <w:proofErr w:type="spellEnd"/>
      <w:r w:rsidRPr="00C70DBF">
        <w:rPr>
          <w:rFonts w:ascii="Calibri" w:eastAsia="Times New Roman" w:hAnsi="Calibri" w:cs="Calibri"/>
          <w:b/>
          <w:bCs/>
          <w:color w:val="800000"/>
          <w:sz w:val="22"/>
        </w:rPr>
        <w:t>, Vietnam.</w:t>
      </w:r>
      <w:bookmarkEnd w:id="75"/>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proofErr w:type="gramStart"/>
      <w:r w:rsidRPr="00C70DBF">
        <w:rPr>
          <w:rFonts w:ascii="Arial" w:eastAsia="Times New Roman" w:hAnsi="Arial" w:cs="Arial"/>
          <w:color w:val="000000"/>
          <w:szCs w:val="24"/>
        </w:rPr>
        <w:t>Junmin</w:t>
      </w:r>
      <w:proofErr w:type="spellEnd"/>
      <w:r w:rsidRPr="00C70DBF">
        <w:rPr>
          <w:rFonts w:ascii="Arial" w:eastAsia="Times New Roman" w:hAnsi="Arial" w:cs="Arial"/>
          <w:color w:val="000000"/>
          <w:szCs w:val="24"/>
        </w:rPr>
        <w:t xml:space="preserve"> Lee, </w:t>
      </w:r>
      <w:proofErr w:type="spellStart"/>
      <w:r w:rsidRPr="00C70DBF">
        <w:rPr>
          <w:rFonts w:ascii="Arial" w:eastAsia="Times New Roman" w:hAnsi="Arial" w:cs="Arial"/>
          <w:color w:val="000000"/>
          <w:szCs w:val="24"/>
        </w:rPr>
        <w:t>Keungoui</w:t>
      </w:r>
      <w:proofErr w:type="spellEnd"/>
      <w:r w:rsidRPr="00C70DBF">
        <w:rPr>
          <w:rFonts w:ascii="Arial" w:eastAsia="Times New Roman" w:hAnsi="Arial" w:cs="Arial"/>
          <w:color w:val="000000"/>
          <w:szCs w:val="24"/>
        </w:rPr>
        <w:t xml:space="preserve"> Kim, </w:t>
      </w:r>
      <w:proofErr w:type="spellStart"/>
      <w:r w:rsidRPr="00C70DBF">
        <w:rPr>
          <w:rFonts w:ascii="Arial" w:eastAsia="Times New Roman" w:hAnsi="Arial" w:cs="Arial"/>
          <w:color w:val="000000"/>
          <w:szCs w:val="24"/>
        </w:rPr>
        <w:t>Hyunha</w:t>
      </w:r>
      <w:proofErr w:type="spellEnd"/>
      <w:r w:rsidRPr="00C70DBF">
        <w:rPr>
          <w:rFonts w:ascii="Arial" w:eastAsia="Times New Roman" w:hAnsi="Arial" w:cs="Arial"/>
          <w:color w:val="000000"/>
          <w:szCs w:val="24"/>
        </w:rPr>
        <w:t xml:space="preserve"> Shin and </w:t>
      </w:r>
      <w:proofErr w:type="spellStart"/>
      <w:r w:rsidRPr="00C70DBF">
        <w:rPr>
          <w:rFonts w:ascii="Arial" w:eastAsia="Times New Roman" w:hAnsi="Arial" w:cs="Arial"/>
          <w:color w:val="000000"/>
          <w:szCs w:val="24"/>
        </w:rPr>
        <w:t>Junseok</w:t>
      </w:r>
      <w:proofErr w:type="spellEnd"/>
      <w:r w:rsidRPr="00C70DBF">
        <w:rPr>
          <w:rFonts w:ascii="Arial" w:eastAsia="Times New Roman" w:hAnsi="Arial" w:cs="Arial"/>
          <w:color w:val="000000"/>
          <w:szCs w:val="24"/>
        </w:rPr>
        <w:t xml:space="preserve"> Hwang.</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Sustainability, 2018.</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44" w:tgtFrame="_blank" w:history="1">
        <w:r w:rsidRPr="00C70DBF">
          <w:rPr>
            <w:rFonts w:ascii="Arial" w:eastAsia="Times New Roman" w:hAnsi="Arial" w:cs="Arial"/>
            <w:color w:val="1155CC"/>
            <w:szCs w:val="24"/>
            <w:u w:val="single"/>
          </w:rPr>
          <w:t>https://ideas.repec.org/a/gam/jsusta/v10y2018i7p2255-d155404.html</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lastRenderedPageBreak/>
        <w:t xml:space="preserve">Abstract: This study selects a case involving water purification systems in </w:t>
      </w:r>
      <w:proofErr w:type="spellStart"/>
      <w:r w:rsidRPr="00C70DBF">
        <w:rPr>
          <w:rFonts w:ascii="Arial" w:eastAsia="Times New Roman" w:hAnsi="Arial" w:cs="Arial"/>
          <w:color w:val="000000"/>
          <w:szCs w:val="24"/>
        </w:rPr>
        <w:t>Binh</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Dinh</w:t>
      </w:r>
      <w:proofErr w:type="spellEnd"/>
      <w:r w:rsidRPr="00C70DBF">
        <w:rPr>
          <w:rFonts w:ascii="Arial" w:eastAsia="Times New Roman" w:hAnsi="Arial" w:cs="Arial"/>
          <w:color w:val="000000"/>
          <w:szCs w:val="24"/>
        </w:rPr>
        <w:t xml:space="preserve">, Vietnam, as an appropriate example to examine appropriate technology (AT) acceptance factors and derive possible insights into the stable settlement and development processes whereby to diffuse AT. This analysis administered questionnaires to users of water purification systems installed in five elementary and middle schools in </w:t>
      </w:r>
      <w:proofErr w:type="spellStart"/>
      <w:r w:rsidRPr="00C70DBF">
        <w:rPr>
          <w:rFonts w:ascii="Arial" w:eastAsia="Times New Roman" w:hAnsi="Arial" w:cs="Arial"/>
          <w:color w:val="000000"/>
          <w:szCs w:val="24"/>
        </w:rPr>
        <w:t>Binh</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Dinh</w:t>
      </w:r>
      <w:proofErr w:type="spellEnd"/>
      <w:r w:rsidRPr="00C70DBF">
        <w:rPr>
          <w:rFonts w:ascii="Arial" w:eastAsia="Times New Roman" w:hAnsi="Arial" w:cs="Arial"/>
          <w:color w:val="000000"/>
          <w:szCs w:val="24"/>
        </w:rPr>
        <w:t xml:space="preserve">, from which 296 samples were collected for the final analysis. The original unified theory of acceptance and use of technology (UTAUT) was modified by incorporating the factors of physical support and educational support, and empirically studied using structural equation modeling. The findings revealed that all constructs significantly affect the behavioral intentions toward AT, of which performance expectancy and physical support have the most significant impact. Thus, understanding local needs and improving the quality of life by spreading AT are </w:t>
      </w:r>
      <w:proofErr w:type="gramStart"/>
      <w:r w:rsidRPr="00C70DBF">
        <w:rPr>
          <w:rFonts w:ascii="Arial" w:eastAsia="Times New Roman" w:hAnsi="Arial" w:cs="Arial"/>
          <w:color w:val="000000"/>
          <w:szCs w:val="24"/>
        </w:rPr>
        <w:t>key</w:t>
      </w:r>
      <w:proofErr w:type="gramEnd"/>
      <w:r w:rsidRPr="00C70DBF">
        <w:rPr>
          <w:rFonts w:ascii="Arial" w:eastAsia="Times New Roman" w:hAnsi="Arial" w:cs="Arial"/>
          <w:color w:val="000000"/>
          <w:szCs w:val="24"/>
        </w:rPr>
        <w:t xml:space="preserve"> in its acceptance and diffusion. Furthermore, sustainable technology is guaranteed only if human and economic support is accompanied by AT development that fits the local context and environment. Finally, the analysis results, that moderating effects differ by role, imply that educational support’s influence varies between manager and student groups.</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76" w:name="m_2889938815520070680__Toc519521702"/>
      <w:proofErr w:type="gramStart"/>
      <w:r w:rsidRPr="00C70DBF">
        <w:rPr>
          <w:rFonts w:ascii="Calibri" w:eastAsia="Times New Roman" w:hAnsi="Calibri" w:cs="Calibri"/>
          <w:b/>
          <w:bCs/>
          <w:color w:val="800000"/>
          <w:sz w:val="22"/>
        </w:rPr>
        <w:t>Polders, dikes, canals, rice, and aquaculture in the Mekong Delta.</w:t>
      </w:r>
      <w:bookmarkEnd w:id="76"/>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proofErr w:type="gramStart"/>
      <w:r w:rsidRPr="00C70DBF">
        <w:rPr>
          <w:rFonts w:ascii="Arial" w:eastAsia="Times New Roman" w:hAnsi="Arial" w:cs="Arial"/>
          <w:color w:val="000000"/>
          <w:szCs w:val="24"/>
        </w:rPr>
        <w:t>Kenneth R. Olson and Lois Wright Morton.</w:t>
      </w:r>
      <w:proofErr w:type="gramEnd"/>
      <w:r w:rsidRPr="00C70DBF">
        <w:rPr>
          <w:rFonts w:ascii="Arial" w:eastAsia="Times New Roman" w:hAnsi="Arial" w:cs="Arial"/>
          <w:color w:val="000000"/>
          <w:szCs w:val="24"/>
        </w:rPr>
        <w:t xml:space="preserve"> </w:t>
      </w:r>
      <w:proofErr w:type="gramStart"/>
      <w:r w:rsidRPr="00C70DBF">
        <w:rPr>
          <w:rFonts w:ascii="Arial" w:eastAsia="Times New Roman" w:hAnsi="Arial" w:cs="Arial"/>
          <w:color w:val="000000"/>
          <w:szCs w:val="24"/>
        </w:rPr>
        <w:t>Journal of Soil and Water Conservation, 2018, volume 73, number 4, pp. 83A-89A.</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Free full text </w:t>
      </w:r>
      <w:hyperlink r:id="rId45" w:tgtFrame="_blank" w:history="1">
        <w:r w:rsidRPr="00C70DBF">
          <w:rPr>
            <w:rFonts w:ascii="Arial" w:eastAsia="Times New Roman" w:hAnsi="Arial" w:cs="Arial"/>
            <w:color w:val="1155CC"/>
            <w:szCs w:val="24"/>
            <w:u w:val="single"/>
          </w:rPr>
          <w:t>http://www.jswconline.org/content/73/4/83A.short</w:t>
        </w:r>
      </w:hyperlink>
      <w:r w:rsidRPr="00C70DBF">
        <w:rPr>
          <w:rFonts w:ascii="Arial" w:eastAsia="Times New Roman" w:hAnsi="Arial" w:cs="Arial"/>
          <w:color w:val="000000"/>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xml:space="preserve">Abstract: A quarter of a century ago, the Mekong Delta of southern Vietnam and southeast Cambodia was a vast swamp of freshwater and saltwater marshes, with half the region under water for many months of the year (Taylor 2014). The warm, moist prevailing winds of the southwest monsoon bring continuous rain May through October, high rates of runoff, and extensive flooding throughout the delta. Much of the low-lying alluvial plain where the Mekong River and its distributary, the </w:t>
      </w:r>
      <w:proofErr w:type="spellStart"/>
      <w:r w:rsidRPr="00C70DBF">
        <w:rPr>
          <w:rFonts w:ascii="Arial" w:eastAsia="Times New Roman" w:hAnsi="Arial" w:cs="Arial"/>
          <w:color w:val="000000"/>
          <w:szCs w:val="24"/>
        </w:rPr>
        <w:t>Bassac</w:t>
      </w:r>
      <w:proofErr w:type="spellEnd"/>
      <w:r w:rsidRPr="00C70DBF">
        <w:rPr>
          <w:rFonts w:ascii="Arial" w:eastAsia="Times New Roman" w:hAnsi="Arial" w:cs="Arial"/>
          <w:color w:val="000000"/>
          <w:szCs w:val="24"/>
        </w:rPr>
        <w:t xml:space="preserve"> River, flow south into the South China Sea is barely 2 to 3 m (6 to 10 </w:t>
      </w:r>
      <w:proofErr w:type="spellStart"/>
      <w:r w:rsidRPr="00C70DBF">
        <w:rPr>
          <w:rFonts w:ascii="Arial" w:eastAsia="Times New Roman" w:hAnsi="Arial" w:cs="Arial"/>
          <w:color w:val="000000"/>
          <w:szCs w:val="24"/>
        </w:rPr>
        <w:t>ft</w:t>
      </w:r>
      <w:proofErr w:type="spellEnd"/>
      <w:r w:rsidRPr="00C70DBF">
        <w:rPr>
          <w:rFonts w:ascii="Arial" w:eastAsia="Times New Roman" w:hAnsi="Arial" w:cs="Arial"/>
          <w:color w:val="000000"/>
          <w:szCs w:val="24"/>
        </w:rPr>
        <w:t>) above sea level (figure 1). Seawater incursions from tides and wave action bring salt water into coastal areas and upriver lands adjacent to river distributaries that outlet into the Gulf of Thailand and the South China Sea. --- Colonial geographers and surveyors of the 1800s reported the Mekong Delta as an inhospitable, underpopulated land with salty-acidic soils, a scarcity of fresh water during the dry season, and indigenous people infected by malaria (Taylor 2014). The Dutch dike strategy of dikes and polders initiated by colonial governments in the 1930s pumped fresh water into rice (</w:t>
      </w:r>
      <w:proofErr w:type="spellStart"/>
      <w:r w:rsidRPr="00C70DBF">
        <w:rPr>
          <w:rFonts w:ascii="Arial" w:eastAsia="Times New Roman" w:hAnsi="Arial" w:cs="Arial"/>
          <w:color w:val="000000"/>
          <w:szCs w:val="24"/>
        </w:rPr>
        <w:t>Oryza</w:t>
      </w:r>
      <w:proofErr w:type="spellEnd"/>
      <w:r w:rsidRPr="00C70DBF">
        <w:rPr>
          <w:rFonts w:ascii="Arial" w:eastAsia="Times New Roman" w:hAnsi="Arial" w:cs="Arial"/>
          <w:color w:val="000000"/>
          <w:szCs w:val="24"/>
        </w:rPr>
        <w:t xml:space="preserve"> sativa L.) fields and was intended to protect the soil….</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after="0" w:line="240" w:lineRule="auto"/>
        <w:outlineLvl w:val="1"/>
        <w:rPr>
          <w:rFonts w:ascii="Arial" w:eastAsia="Times New Roman" w:hAnsi="Arial" w:cs="Arial"/>
          <w:b/>
          <w:bCs/>
          <w:color w:val="000000"/>
          <w:sz w:val="36"/>
          <w:szCs w:val="36"/>
        </w:rPr>
      </w:pPr>
      <w:bookmarkStart w:id="77" w:name="m_2889938815520070680__Toc519521703"/>
      <w:r w:rsidRPr="00C70DBF">
        <w:rPr>
          <w:rFonts w:ascii="Calibri" w:eastAsia="Times New Roman" w:hAnsi="Calibri" w:cs="Calibri"/>
          <w:b/>
          <w:bCs/>
          <w:color w:val="800000"/>
          <w:sz w:val="22"/>
        </w:rPr>
        <w:t>Social sustainability assessment of groundwater resources: A case study of Hanoi, Vietnam.</w:t>
      </w:r>
      <w:bookmarkEnd w:id="77"/>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r w:rsidRPr="00C70DBF">
        <w:rPr>
          <w:rFonts w:ascii="Arial" w:eastAsia="Times New Roman" w:hAnsi="Arial" w:cs="Arial"/>
          <w:color w:val="000000"/>
          <w:szCs w:val="24"/>
        </w:rPr>
        <w:lastRenderedPageBreak/>
        <w:t>Nuong</w:t>
      </w:r>
      <w:proofErr w:type="spellEnd"/>
      <w:r w:rsidRPr="00C70DBF">
        <w:rPr>
          <w:rFonts w:ascii="Arial" w:eastAsia="Times New Roman" w:hAnsi="Arial" w:cs="Arial"/>
          <w:color w:val="000000"/>
          <w:szCs w:val="24"/>
        </w:rPr>
        <w:t xml:space="preserve"> </w:t>
      </w:r>
      <w:proofErr w:type="spellStart"/>
      <w:r w:rsidRPr="00C70DBF">
        <w:rPr>
          <w:rFonts w:ascii="Arial" w:eastAsia="Times New Roman" w:hAnsi="Arial" w:cs="Arial"/>
          <w:color w:val="000000"/>
          <w:szCs w:val="24"/>
        </w:rPr>
        <w:t>Thi</w:t>
      </w:r>
      <w:proofErr w:type="spellEnd"/>
      <w:r w:rsidRPr="00C70DBF">
        <w:rPr>
          <w:rFonts w:ascii="Arial" w:eastAsia="Times New Roman" w:hAnsi="Arial" w:cs="Arial"/>
          <w:color w:val="000000"/>
          <w:szCs w:val="24"/>
        </w:rPr>
        <w:t xml:space="preserve"> Bui, Akira Kawamura, Hideo </w:t>
      </w:r>
      <w:proofErr w:type="spellStart"/>
      <w:r w:rsidRPr="00C70DBF">
        <w:rPr>
          <w:rFonts w:ascii="Arial" w:eastAsia="Times New Roman" w:hAnsi="Arial" w:cs="Arial"/>
          <w:color w:val="000000"/>
          <w:szCs w:val="24"/>
        </w:rPr>
        <w:t>Amaguchi</w:t>
      </w:r>
      <w:proofErr w:type="spellEnd"/>
      <w:r w:rsidRPr="00C70DBF">
        <w:rPr>
          <w:rFonts w:ascii="Arial" w:eastAsia="Times New Roman" w:hAnsi="Arial" w:cs="Arial"/>
          <w:color w:val="000000"/>
          <w:szCs w:val="24"/>
        </w:rPr>
        <w:t xml:space="preserve">, Duong Du Bui, Ngoc </w:t>
      </w:r>
      <w:proofErr w:type="spellStart"/>
      <w:r w:rsidRPr="00C70DBF">
        <w:rPr>
          <w:rFonts w:ascii="Arial" w:eastAsia="Times New Roman" w:hAnsi="Arial" w:cs="Arial"/>
          <w:color w:val="000000"/>
          <w:szCs w:val="24"/>
        </w:rPr>
        <w:t>Tu</w:t>
      </w:r>
      <w:proofErr w:type="spellEnd"/>
      <w:r w:rsidRPr="00C70DBF">
        <w:rPr>
          <w:rFonts w:ascii="Arial" w:eastAsia="Times New Roman" w:hAnsi="Arial" w:cs="Arial"/>
          <w:color w:val="000000"/>
          <w:szCs w:val="24"/>
        </w:rPr>
        <w:t xml:space="preserve"> Truong and others. </w:t>
      </w:r>
      <w:proofErr w:type="gramStart"/>
      <w:r w:rsidRPr="00C70DBF">
        <w:rPr>
          <w:rFonts w:ascii="Arial" w:eastAsia="Times New Roman" w:hAnsi="Arial" w:cs="Arial"/>
          <w:color w:val="000000"/>
          <w:szCs w:val="24"/>
        </w:rPr>
        <w:t>Ecological Indicators, 2018, volume 93, pp. 1034-1042.</w:t>
      </w:r>
      <w:proofErr w:type="gram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Abstract: Groundwater plays a key role in public water supplies around the world, and consideration of the social dimension is a key issue in sustainable groundwater management. In Hanoi, the capital of Vietnam, the situation of groundwater resources is disastrous because the quality has seriously degraded recently. Hence, in this study, a social sustainability assessment framework of groundwater resources with a focus on Hanoi is proposed for the first time. An analytical hierarchy process (AHP) approach was used to generate the main components (aspects and indicators) of this framework, which has been considered one of the most challenging tasks in AHP sustainability applications. To overcome these challenging tasks, we carefully reviewed and explored the current problems of Hanoi groundwater resources to propose 3 main aspects (quantity, quality, and management) and appropriately selected their 13 sustainability indicators for this target area. We introduce a sustainability index function (SIF) for indicators to clarify the relationship between each indicator value and its sustainability index. Furthermore, we consider both the conventional linear relationship, as it is usually developed in the literature, as well as a non-linear SIF to arrive at a reasonable sustainability assessment. For the Hanoi case study, the sustainability indices obtained using a combined linear and non-linear SIF method reflect the current problems well, that is, the social sustainability assessment is closer to reality. The sustainability indices of the quantity, quality, and management aspects of the groundwater were appropriately assessed as good, poor, and acceptable, respectively, resulting in Hanoi being rated at the acceptable level in the final social sustainability assessment. This result reveals that the population of Hanoi is satisfied with the quantity of water but dissatisfied with its current poor quality and its relatively high price.</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bookmarkStart w:id="78" w:name="m_2889938815520070680__Hlk511750469"/>
      <w:r w:rsidRPr="00C70DBF">
        <w:rPr>
          <w:rFonts w:ascii="Arial" w:eastAsia="Times New Roman" w:hAnsi="Arial" w:cs="Arial"/>
          <w:color w:val="000000"/>
          <w:szCs w:val="24"/>
        </w:rPr>
        <w:t>               </w:t>
      </w:r>
      <w:bookmarkEnd w:id="78"/>
      <w:r w:rsidRPr="00C70DBF">
        <w:rPr>
          <w:rFonts w:ascii="Arial" w:eastAsia="Times New Roman" w:hAnsi="Arial" w:cs="Arial"/>
          <w:color w:val="000000"/>
          <w:szCs w:val="24"/>
        </w:rPr>
        <w:fldChar w:fldCharType="begin"/>
      </w:r>
      <w:r w:rsidRPr="00C70DBF">
        <w:rPr>
          <w:rFonts w:ascii="Arial" w:eastAsia="Times New Roman" w:hAnsi="Arial" w:cs="Arial"/>
          <w:color w:val="000000"/>
          <w:szCs w:val="24"/>
        </w:rPr>
        <w:instrText xml:space="preserve"> HYPERLINK "https://mail.google.com/mail/u/0/?ui=2&amp;ik=98e23e7e7e&amp;view=lg&amp;msg=164a295b16eb6978" \l "m_2889938815520070680__top" </w:instrText>
      </w:r>
      <w:r w:rsidRPr="00C70DBF">
        <w:rPr>
          <w:rFonts w:ascii="Arial" w:eastAsia="Times New Roman" w:hAnsi="Arial" w:cs="Arial"/>
          <w:color w:val="000000"/>
          <w:szCs w:val="24"/>
        </w:rPr>
        <w:fldChar w:fldCharType="separate"/>
      </w:r>
      <w:r w:rsidR="00A028EE">
        <w:fldChar w:fldCharType="begin"/>
      </w:r>
      <w:r w:rsidR="00A028EE">
        <w:instrText xml:space="preserve"> HYPERLINK "" \l "_top" </w:instrText>
      </w:r>
      <w:r w:rsidR="00A028EE">
        <w:fldChar w:fldCharType="separate"/>
      </w:r>
      <w:r w:rsidR="00A028EE">
        <w:rPr>
          <w:rStyle w:val="Hyperlink"/>
        </w:rPr>
        <w:t>Back to top</w:t>
      </w:r>
      <w:r w:rsidR="00A028EE">
        <w:fldChar w:fldCharType="end"/>
      </w:r>
      <w:r w:rsidRPr="00C70DBF">
        <w:rPr>
          <w:rFonts w:ascii="Arial" w:eastAsia="Times New Roman" w:hAnsi="Arial" w:cs="Arial"/>
          <w:color w:val="000000"/>
          <w:szCs w:val="24"/>
        </w:rPr>
        <w:fldChar w:fldCharType="end"/>
      </w:r>
      <w:bookmarkStart w:id="79" w:name="_GoBack"/>
      <w:bookmarkEnd w:id="79"/>
    </w:p>
    <w:p w:rsidR="00C70DBF" w:rsidRPr="00C70DBF" w:rsidRDefault="00C70DBF" w:rsidP="00C70DBF">
      <w:pPr>
        <w:spacing w:before="100" w:beforeAutospacing="1" w:after="100" w:afterAutospacing="1"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 </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w:t>
      </w:r>
    </w:p>
    <w:p w:rsidR="00C70DBF" w:rsidRPr="00C70DBF" w:rsidRDefault="00C70DBF" w:rsidP="00C70DBF">
      <w:pPr>
        <w:spacing w:before="100" w:beforeAutospacing="1" w:after="0" w:line="240" w:lineRule="auto"/>
        <w:rPr>
          <w:rFonts w:ascii="Arial" w:eastAsia="Times New Roman" w:hAnsi="Arial" w:cs="Arial"/>
          <w:color w:val="000000"/>
          <w:szCs w:val="24"/>
        </w:rPr>
      </w:pPr>
      <w:proofErr w:type="spellStart"/>
      <w:r w:rsidRPr="00C70DBF">
        <w:rPr>
          <w:rFonts w:ascii="Arial" w:eastAsia="Times New Roman" w:hAnsi="Arial" w:cs="Arial"/>
          <w:color w:val="1F3864"/>
          <w:szCs w:val="24"/>
        </w:rPr>
        <w:t>Vũ</w:t>
      </w:r>
      <w:proofErr w:type="spellEnd"/>
      <w:r w:rsidRPr="00C70DBF">
        <w:rPr>
          <w:rFonts w:ascii="Arial" w:eastAsia="Times New Roman" w:hAnsi="Arial" w:cs="Arial"/>
          <w:color w:val="1F3864"/>
          <w:szCs w:val="24"/>
        </w:rPr>
        <w:t xml:space="preserve"> </w:t>
      </w:r>
      <w:proofErr w:type="spellStart"/>
      <w:r w:rsidRPr="00C70DBF">
        <w:rPr>
          <w:rFonts w:ascii="Arial" w:eastAsia="Times New Roman" w:hAnsi="Arial" w:cs="Arial"/>
          <w:color w:val="1F3864"/>
          <w:szCs w:val="24"/>
        </w:rPr>
        <w:t>Thị</w:t>
      </w:r>
      <w:proofErr w:type="spellEnd"/>
      <w:r w:rsidRPr="00C70DBF">
        <w:rPr>
          <w:rFonts w:ascii="Arial" w:eastAsia="Times New Roman" w:hAnsi="Arial" w:cs="Arial"/>
          <w:color w:val="1F3864"/>
          <w:szCs w:val="24"/>
        </w:rPr>
        <w:t xml:space="preserve"> </w:t>
      </w:r>
      <w:proofErr w:type="spellStart"/>
      <w:r w:rsidRPr="00C70DBF">
        <w:rPr>
          <w:rFonts w:ascii="Arial" w:eastAsia="Times New Roman" w:hAnsi="Arial" w:cs="Arial"/>
          <w:color w:val="1F3864"/>
          <w:szCs w:val="24"/>
        </w:rPr>
        <w:t>Nha</w:t>
      </w:r>
      <w:proofErr w:type="spellEnd"/>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Librarian</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lastRenderedPageBreak/>
        <w:t>World Bank Group</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63 Ly Thai To, Hanoi, Vietnam</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Tel.: +84-4-3934 6845</w:t>
      </w:r>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Email: </w:t>
      </w:r>
      <w:hyperlink r:id="rId46" w:tgtFrame="_blank" w:history="1">
        <w:r w:rsidRPr="00C70DBF">
          <w:rPr>
            <w:rFonts w:ascii="Arial" w:eastAsia="Times New Roman" w:hAnsi="Arial" w:cs="Arial"/>
            <w:color w:val="1F3864"/>
            <w:szCs w:val="24"/>
            <w:u w:val="single"/>
          </w:rPr>
          <w:t>nvu2@worldbankgroup.org</w:t>
        </w:r>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World Bank Vietnam web site </w:t>
      </w:r>
      <w:hyperlink r:id="rId47" w:tgtFrame="_blank" w:history="1">
        <w:r w:rsidRPr="00C70DBF">
          <w:rPr>
            <w:rFonts w:ascii="Arial" w:eastAsia="Times New Roman" w:hAnsi="Arial" w:cs="Arial"/>
            <w:color w:val="1F3864"/>
            <w:szCs w:val="24"/>
            <w:u w:val="single"/>
          </w:rPr>
          <w:t>http://www.worldbank.org.vn</w:t>
        </w:r>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WB’s free documents and reports </w:t>
      </w:r>
      <w:hyperlink r:id="rId48" w:tgtFrame="_blank" w:history="1">
        <w:r w:rsidRPr="00C70DBF">
          <w:rPr>
            <w:rFonts w:ascii="Arial" w:eastAsia="Times New Roman" w:hAnsi="Arial" w:cs="Arial"/>
            <w:color w:val="1F3864"/>
            <w:szCs w:val="24"/>
            <w:u w:val="single"/>
          </w:rPr>
          <w:t>http://www.worldbank.org/documents</w:t>
        </w:r>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WB’s free publications &amp; research </w:t>
      </w:r>
      <w:hyperlink r:id="rId49" w:tgtFrame="_blank" w:history="1">
        <w:r w:rsidRPr="00C70DBF">
          <w:rPr>
            <w:rFonts w:ascii="Arial" w:eastAsia="Times New Roman" w:hAnsi="Arial" w:cs="Arial"/>
            <w:color w:val="1F3864"/>
            <w:szCs w:val="24"/>
            <w:u w:val="single"/>
          </w:rPr>
          <w:t>http://openknowledge.worldbank.org</w:t>
        </w:r>
      </w:hyperlink>
    </w:p>
    <w:p w:rsidR="00C70DBF" w:rsidRPr="00C70DBF" w:rsidRDefault="00C70DBF" w:rsidP="00C70DBF">
      <w:pPr>
        <w:spacing w:before="100" w:beforeAutospacing="1" w:after="0" w:line="240" w:lineRule="auto"/>
        <w:rPr>
          <w:rFonts w:ascii="Arial" w:eastAsia="Times New Roman" w:hAnsi="Arial" w:cs="Arial"/>
          <w:color w:val="000000"/>
          <w:szCs w:val="24"/>
        </w:rPr>
      </w:pPr>
      <w:r w:rsidRPr="00C70DBF">
        <w:rPr>
          <w:rFonts w:ascii="Arial" w:eastAsia="Times New Roman" w:hAnsi="Arial" w:cs="Arial"/>
          <w:color w:val="1F3864"/>
          <w:szCs w:val="24"/>
        </w:rPr>
        <w:t>WB’s free data &amp; statistics </w:t>
      </w:r>
      <w:hyperlink r:id="rId50" w:tgtFrame="_blank" w:history="1">
        <w:r w:rsidRPr="00C70DBF">
          <w:rPr>
            <w:rFonts w:ascii="Arial" w:eastAsia="Times New Roman" w:hAnsi="Arial" w:cs="Arial"/>
            <w:color w:val="1F3864"/>
            <w:szCs w:val="24"/>
            <w:u w:val="single"/>
          </w:rPr>
          <w:t>http://data.worldbank.org</w:t>
        </w:r>
      </w:hyperlink>
    </w:p>
    <w:p w:rsidR="00C70DBF" w:rsidRPr="00C70DBF" w:rsidRDefault="00C70DBF" w:rsidP="00C70DBF">
      <w:pPr>
        <w:spacing w:before="100" w:beforeAutospacing="1" w:after="100" w:afterAutospacing="1" w:line="240" w:lineRule="auto"/>
        <w:rPr>
          <w:rFonts w:ascii="Arial" w:eastAsia="Times New Roman" w:hAnsi="Arial" w:cs="Arial"/>
          <w:color w:val="000000"/>
          <w:szCs w:val="24"/>
        </w:rPr>
      </w:pPr>
      <w:r w:rsidRPr="00C70DBF">
        <w:rPr>
          <w:rFonts w:ascii="Arial" w:eastAsia="Times New Roman" w:hAnsi="Arial" w:cs="Arial"/>
          <w:color w:val="000000"/>
          <w:szCs w:val="24"/>
        </w:rPr>
        <w:t> </w:t>
      </w:r>
    </w:p>
    <w:p w:rsidR="00A82EC4" w:rsidRDefault="00A82EC4"/>
    <w:sectPr w:rsidR="00A82E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35011D"/>
    <w:multiLevelType w:val="multilevel"/>
    <w:tmpl w:val="D534A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9D20AD6"/>
    <w:multiLevelType w:val="multilevel"/>
    <w:tmpl w:val="C94C1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3EF0CDE"/>
    <w:multiLevelType w:val="multilevel"/>
    <w:tmpl w:val="94FC2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4654CB4"/>
    <w:multiLevelType w:val="multilevel"/>
    <w:tmpl w:val="CED8D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56390128"/>
    <w:multiLevelType w:val="multilevel"/>
    <w:tmpl w:val="FA4CF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DBB27E2"/>
    <w:multiLevelType w:val="multilevel"/>
    <w:tmpl w:val="658C3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62355335"/>
    <w:multiLevelType w:val="multilevel"/>
    <w:tmpl w:val="C74A14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6436AE4"/>
    <w:multiLevelType w:val="multilevel"/>
    <w:tmpl w:val="D974B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B684BA6"/>
    <w:multiLevelType w:val="multilevel"/>
    <w:tmpl w:val="C9044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2B44505"/>
    <w:multiLevelType w:val="multilevel"/>
    <w:tmpl w:val="3C82A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AAF620F"/>
    <w:multiLevelType w:val="multilevel"/>
    <w:tmpl w:val="4CB07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E3B629C"/>
    <w:multiLevelType w:val="multilevel"/>
    <w:tmpl w:val="982422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6"/>
  </w:num>
  <w:num w:numId="2">
    <w:abstractNumId w:val="11"/>
  </w:num>
  <w:num w:numId="3">
    <w:abstractNumId w:val="3"/>
  </w:num>
  <w:num w:numId="4">
    <w:abstractNumId w:val="2"/>
  </w:num>
  <w:num w:numId="5">
    <w:abstractNumId w:val="0"/>
  </w:num>
  <w:num w:numId="6">
    <w:abstractNumId w:val="10"/>
  </w:num>
  <w:num w:numId="7">
    <w:abstractNumId w:val="8"/>
  </w:num>
  <w:num w:numId="8">
    <w:abstractNumId w:val="4"/>
  </w:num>
  <w:num w:numId="9">
    <w:abstractNumId w:val="9"/>
  </w:num>
  <w:num w:numId="10">
    <w:abstractNumId w:val="5"/>
  </w:num>
  <w:num w:numId="11">
    <w:abstractNumId w:val="7"/>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70DBF"/>
    <w:rsid w:val="00A028EE"/>
    <w:rsid w:val="00A82EC4"/>
    <w:rsid w:val="00B1478C"/>
    <w:rsid w:val="00C70D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70DBF"/>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C70DBF"/>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DBF"/>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C70DBF"/>
    <w:rPr>
      <w:rFonts w:eastAsia="Times New Roman" w:cs="Times New Roman"/>
      <w:b/>
      <w:bCs/>
      <w:sz w:val="36"/>
      <w:szCs w:val="36"/>
    </w:rPr>
  </w:style>
  <w:style w:type="numbering" w:customStyle="1" w:styleId="NoList1">
    <w:name w:val="No List1"/>
    <w:next w:val="NoList"/>
    <w:uiPriority w:val="99"/>
    <w:semiHidden/>
    <w:unhideWhenUsed/>
    <w:rsid w:val="00C70DBF"/>
  </w:style>
  <w:style w:type="paragraph" w:customStyle="1" w:styleId="m2889938815520070680msotoc1">
    <w:name w:val="m_2889938815520070680msotoc1"/>
    <w:basedOn w:val="Normal"/>
    <w:rsid w:val="00C70DBF"/>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unhideWhenUsed/>
    <w:rsid w:val="00C70DBF"/>
    <w:rPr>
      <w:color w:val="0000FF"/>
      <w:u w:val="single"/>
    </w:rPr>
  </w:style>
  <w:style w:type="character" w:styleId="FollowedHyperlink">
    <w:name w:val="FollowedHyperlink"/>
    <w:basedOn w:val="DefaultParagraphFont"/>
    <w:uiPriority w:val="99"/>
    <w:semiHidden/>
    <w:unhideWhenUsed/>
    <w:rsid w:val="00C70DBF"/>
    <w:rPr>
      <w:color w:val="800080"/>
      <w:u w:val="single"/>
    </w:rPr>
  </w:style>
  <w:style w:type="paragraph" w:customStyle="1" w:styleId="m2889938815520070680msotoc2">
    <w:name w:val="m_2889938815520070680msotoc2"/>
    <w:basedOn w:val="Normal"/>
    <w:rsid w:val="00C70DBF"/>
    <w:pPr>
      <w:spacing w:before="100" w:beforeAutospacing="1" w:after="100" w:afterAutospacing="1" w:line="240" w:lineRule="auto"/>
    </w:pPr>
    <w:rPr>
      <w:rFonts w:eastAsia="Times New Roman" w:cs="Times New Roman"/>
      <w:szCs w:val="24"/>
    </w:rPr>
  </w:style>
  <w:style w:type="character" w:customStyle="1" w:styleId="apple-converted-space">
    <w:name w:val="apple-converted-space"/>
    <w:basedOn w:val="DefaultParagraphFont"/>
    <w:rsid w:val="00C70DBF"/>
  </w:style>
  <w:style w:type="character" w:customStyle="1" w:styleId="m2889938815520070680msohyperlink">
    <w:name w:val="m_2889938815520070680msohyperlink"/>
    <w:basedOn w:val="DefaultParagraphFont"/>
    <w:rsid w:val="00C70DB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70DBF"/>
    <w:pPr>
      <w:spacing w:before="100" w:beforeAutospacing="1" w:after="100" w:afterAutospacing="1" w:line="240" w:lineRule="auto"/>
      <w:outlineLvl w:val="0"/>
    </w:pPr>
    <w:rPr>
      <w:rFonts w:eastAsia="Times New Roman" w:cs="Times New Roman"/>
      <w:b/>
      <w:bCs/>
      <w:kern w:val="36"/>
      <w:sz w:val="48"/>
      <w:szCs w:val="48"/>
    </w:rPr>
  </w:style>
  <w:style w:type="paragraph" w:styleId="Heading2">
    <w:name w:val="heading 2"/>
    <w:basedOn w:val="Normal"/>
    <w:link w:val="Heading2Char"/>
    <w:uiPriority w:val="9"/>
    <w:qFormat/>
    <w:rsid w:val="00C70DBF"/>
    <w:pPr>
      <w:spacing w:before="100" w:beforeAutospacing="1" w:after="100" w:afterAutospacing="1" w:line="240" w:lineRule="auto"/>
      <w:outlineLvl w:val="1"/>
    </w:pPr>
    <w:rPr>
      <w:rFonts w:eastAsia="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70DBF"/>
    <w:rPr>
      <w:rFonts w:eastAsia="Times New Roman" w:cs="Times New Roman"/>
      <w:b/>
      <w:bCs/>
      <w:kern w:val="36"/>
      <w:sz w:val="48"/>
      <w:szCs w:val="48"/>
    </w:rPr>
  </w:style>
  <w:style w:type="character" w:customStyle="1" w:styleId="Heading2Char">
    <w:name w:val="Heading 2 Char"/>
    <w:basedOn w:val="DefaultParagraphFont"/>
    <w:link w:val="Heading2"/>
    <w:uiPriority w:val="9"/>
    <w:rsid w:val="00C70DBF"/>
    <w:rPr>
      <w:rFonts w:eastAsia="Times New Roman" w:cs="Times New Roman"/>
      <w:b/>
      <w:bCs/>
      <w:sz w:val="36"/>
      <w:szCs w:val="36"/>
    </w:rPr>
  </w:style>
  <w:style w:type="numbering" w:customStyle="1" w:styleId="NoList1">
    <w:name w:val="No List1"/>
    <w:next w:val="NoList"/>
    <w:uiPriority w:val="99"/>
    <w:semiHidden/>
    <w:unhideWhenUsed/>
    <w:rsid w:val="00C70DBF"/>
  </w:style>
  <w:style w:type="paragraph" w:customStyle="1" w:styleId="m2889938815520070680msotoc1">
    <w:name w:val="m_2889938815520070680msotoc1"/>
    <w:basedOn w:val="Normal"/>
    <w:rsid w:val="00C70DBF"/>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unhideWhenUsed/>
    <w:rsid w:val="00C70DBF"/>
    <w:rPr>
      <w:color w:val="0000FF"/>
      <w:u w:val="single"/>
    </w:rPr>
  </w:style>
  <w:style w:type="character" w:styleId="FollowedHyperlink">
    <w:name w:val="FollowedHyperlink"/>
    <w:basedOn w:val="DefaultParagraphFont"/>
    <w:uiPriority w:val="99"/>
    <w:semiHidden/>
    <w:unhideWhenUsed/>
    <w:rsid w:val="00C70DBF"/>
    <w:rPr>
      <w:color w:val="800080"/>
      <w:u w:val="single"/>
    </w:rPr>
  </w:style>
  <w:style w:type="paragraph" w:customStyle="1" w:styleId="m2889938815520070680msotoc2">
    <w:name w:val="m_2889938815520070680msotoc2"/>
    <w:basedOn w:val="Normal"/>
    <w:rsid w:val="00C70DBF"/>
    <w:pPr>
      <w:spacing w:before="100" w:beforeAutospacing="1" w:after="100" w:afterAutospacing="1" w:line="240" w:lineRule="auto"/>
    </w:pPr>
    <w:rPr>
      <w:rFonts w:eastAsia="Times New Roman" w:cs="Times New Roman"/>
      <w:szCs w:val="24"/>
    </w:rPr>
  </w:style>
  <w:style w:type="character" w:customStyle="1" w:styleId="apple-converted-space">
    <w:name w:val="apple-converted-space"/>
    <w:basedOn w:val="DefaultParagraphFont"/>
    <w:rsid w:val="00C70DBF"/>
  </w:style>
  <w:style w:type="character" w:customStyle="1" w:styleId="m2889938815520070680msohyperlink">
    <w:name w:val="m_2889938815520070680msohyperlink"/>
    <w:basedOn w:val="DefaultParagraphFont"/>
    <w:rsid w:val="00C70D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5324333">
      <w:bodyDiv w:val="1"/>
      <w:marLeft w:val="0"/>
      <w:marRight w:val="0"/>
      <w:marTop w:val="0"/>
      <w:marBottom w:val="0"/>
      <w:divBdr>
        <w:top w:val="none" w:sz="0" w:space="0" w:color="auto"/>
        <w:left w:val="none" w:sz="0" w:space="0" w:color="auto"/>
        <w:bottom w:val="none" w:sz="0" w:space="0" w:color="auto"/>
        <w:right w:val="none" w:sz="0" w:space="0" w:color="auto"/>
      </w:divBdr>
    </w:div>
    <w:div w:id="1464233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ail.google.com/mail/u/0/?ui=2&amp;ik=98e23e7e7e&amp;view=lg&amp;msg=164a295b16eb6978" TargetMode="External"/><Relationship Id="rId18" Type="http://schemas.openxmlformats.org/officeDocument/2006/relationships/hyperlink" Target="https://mail.google.com/mail/u/0/?ui=2&amp;ik=98e23e7e7e&amp;view=lg&amp;msg=164a295b16eb6978" TargetMode="External"/><Relationship Id="rId26" Type="http://schemas.openxmlformats.org/officeDocument/2006/relationships/hyperlink" Target="https://mail.google.com/mail/u/0/?ui=2&amp;ik=98e23e7e7e&amp;view=lg&amp;msg=164a295b16eb6978" TargetMode="External"/><Relationship Id="rId39" Type="http://schemas.openxmlformats.org/officeDocument/2006/relationships/hyperlink" Target="https://mail.google.com/mail/u/0/?ui=2&amp;ik=98e23e7e7e&amp;view=lg&amp;msg=164a295b16eb6978" TargetMode="External"/><Relationship Id="rId3" Type="http://schemas.microsoft.com/office/2007/relationships/stylesWithEffects" Target="stylesWithEffects.xml"/><Relationship Id="rId21" Type="http://schemas.openxmlformats.org/officeDocument/2006/relationships/hyperlink" Target="http://documents.worldbank.org/curated/en/442851529499024711/pdf/WPS8480.pdf" TargetMode="External"/><Relationship Id="rId34" Type="http://schemas.openxmlformats.org/officeDocument/2006/relationships/hyperlink" Target="https://mail.google.com/mail/u/0/?ui=2&amp;ik=98e23e7e7e&amp;view=lg&amp;msg=164a295b16eb6978" TargetMode="External"/><Relationship Id="rId42" Type="http://schemas.openxmlformats.org/officeDocument/2006/relationships/hyperlink" Target="https://mail.google.com/mail/u/0/?ui=2&amp;ik=98e23e7e7e&amp;view=lg&amp;msg=164a295b16eb6978" TargetMode="External"/><Relationship Id="rId47" Type="http://schemas.openxmlformats.org/officeDocument/2006/relationships/hyperlink" Target="http://www.worldbank.org.vn/" TargetMode="External"/><Relationship Id="rId50" Type="http://schemas.openxmlformats.org/officeDocument/2006/relationships/hyperlink" Target="http://data.worldbank.org/" TargetMode="External"/><Relationship Id="rId7" Type="http://schemas.openxmlformats.org/officeDocument/2006/relationships/hyperlink" Target="http://www.mdpi.com/2071-1050/10/7/2279" TargetMode="External"/><Relationship Id="rId12" Type="http://schemas.openxmlformats.org/officeDocument/2006/relationships/hyperlink" Target="https://www.computer.org/csdl/proceedings/compsac/2018/2666/00/266601a327-abs.html" TargetMode="External"/><Relationship Id="rId17" Type="http://schemas.openxmlformats.org/officeDocument/2006/relationships/hyperlink" Target="https://mail.google.com/mail/u/0/?ui=2&amp;ik=98e23e7e7e&amp;view=lg&amp;msg=164a295b16eb6978" TargetMode="External"/><Relationship Id="rId25" Type="http://schemas.openxmlformats.org/officeDocument/2006/relationships/hyperlink" Target="https://osf.io/b34fw" TargetMode="External"/><Relationship Id="rId33" Type="http://schemas.openxmlformats.org/officeDocument/2006/relationships/hyperlink" Target="https://mail.google.com/mail/u/0/?ui=2&amp;ik=98e23e7e7e&amp;view=lg&amp;msg=164a295b16eb6978" TargetMode="External"/><Relationship Id="rId38" Type="http://schemas.openxmlformats.org/officeDocument/2006/relationships/hyperlink" Target="https://www.tse-fr.eu/sites/default/files/TSE/documents/doc/wp/2018/wp_tse_910.pdf" TargetMode="External"/><Relationship Id="rId46" Type="http://schemas.openxmlformats.org/officeDocument/2006/relationships/hyperlink" Target="mailto:nvu2@worldbankgroup.org" TargetMode="External"/><Relationship Id="rId2" Type="http://schemas.openxmlformats.org/officeDocument/2006/relationships/styles" Target="styles.xml"/><Relationship Id="rId16" Type="http://schemas.openxmlformats.org/officeDocument/2006/relationships/hyperlink" Target="http://www.imf.org/en/Publications/CR/Issues/2018/07/10/Vietnam-Selected-Issues-46065?cid=em-COM-123-37405" TargetMode="External"/><Relationship Id="rId20" Type="http://schemas.openxmlformats.org/officeDocument/2006/relationships/hyperlink" Target="https://younglives.org.uk/content/digital-access-use-and-skills-across-four-countries-construction-scales-and-preliminary" TargetMode="External"/><Relationship Id="rId29" Type="http://schemas.openxmlformats.org/officeDocument/2006/relationships/hyperlink" Target="https://mail.google.com/mail/u/0/?ui=2&amp;ik=98e23e7e7e&amp;view=lg&amp;msg=164a295b16eb6978" TargetMode="External"/><Relationship Id="rId41" Type="http://schemas.openxmlformats.org/officeDocument/2006/relationships/hyperlink" Target="https://mail.google.com/mail/u/0/?ui=2&amp;ik=98e23e7e7e&amp;view=lg&amp;msg=164a295b16eb6978" TargetMode="External"/><Relationship Id="rId1" Type="http://schemas.openxmlformats.org/officeDocument/2006/relationships/numbering" Target="numbering.xml"/><Relationship Id="rId6" Type="http://schemas.openxmlformats.org/officeDocument/2006/relationships/hyperlink" Target="http://iopscience.iop.org/article/10.1088/1748-9326/aad1d1/pdf" TargetMode="External"/><Relationship Id="rId11" Type="http://schemas.openxmlformats.org/officeDocument/2006/relationships/hyperlink" Target="https://mail.google.com/mail/u/0/?ui=2&amp;ik=98e23e7e7e&amp;view=lg&amp;msg=164a295b16eb6978" TargetMode="External"/><Relationship Id="rId24" Type="http://schemas.openxmlformats.org/officeDocument/2006/relationships/hyperlink" Target="https://mail.google.com/mail/u/0/?ui=2&amp;ik=98e23e7e7e&amp;view=lg&amp;msg=164a295b16eb6978" TargetMode="External"/><Relationship Id="rId32" Type="http://schemas.openxmlformats.org/officeDocument/2006/relationships/hyperlink" Target="http://www.ncbi.nlm.nih.gov/pmc/articles/PMC5995730/" TargetMode="External"/><Relationship Id="rId37" Type="http://schemas.openxmlformats.org/officeDocument/2006/relationships/hyperlink" Target="https://mail.google.com/mail/u/0/?ui=2&amp;ik=98e23e7e7e&amp;view=lg&amp;msg=164a295b16eb6978" TargetMode="External"/><Relationship Id="rId40" Type="http://schemas.openxmlformats.org/officeDocument/2006/relationships/hyperlink" Target="https://mail.google.com/mail/u/0/?ui=2&amp;ik=98e23e7e7e&amp;view=lg&amp;msg=164a295b16eb6978" TargetMode="External"/><Relationship Id="rId45" Type="http://schemas.openxmlformats.org/officeDocument/2006/relationships/hyperlink" Target="http://www.jswconline.org/content/73/4/83A.short" TargetMode="External"/><Relationship Id="rId5" Type="http://schemas.openxmlformats.org/officeDocument/2006/relationships/webSettings" Target="webSettings.xml"/><Relationship Id="rId15" Type="http://schemas.openxmlformats.org/officeDocument/2006/relationships/hyperlink" Target="http://www.imf.org/en/Publications/CR/Issues/2018/07/10/Vietnam-2018-Article-IV-Consultation-Press-Release-and-Staff-Report-46064?cid=em-COM-123-37404" TargetMode="External"/><Relationship Id="rId23" Type="http://schemas.openxmlformats.org/officeDocument/2006/relationships/hyperlink" Target="https://mail.google.com/mail/u/0/?ui=2&amp;ik=98e23e7e7e&amp;view=lg&amp;msg=164a295b16eb6978" TargetMode="External"/><Relationship Id="rId28" Type="http://schemas.openxmlformats.org/officeDocument/2006/relationships/hyperlink" Target="https://ideas.repec.org/a/gam/jsusta/v10y2018i7p2314-d156202.html" TargetMode="External"/><Relationship Id="rId36" Type="http://schemas.openxmlformats.org/officeDocument/2006/relationships/hyperlink" Target="https://mail.google.com/mail/u/0/?ui=2&amp;ik=98e23e7e7e&amp;view=lg&amp;msg=164a295b16eb6978" TargetMode="External"/><Relationship Id="rId49" Type="http://schemas.openxmlformats.org/officeDocument/2006/relationships/hyperlink" Target="http://openknowledge.worldbank.org/" TargetMode="External"/><Relationship Id="rId10" Type="http://schemas.openxmlformats.org/officeDocument/2006/relationships/hyperlink" Target="http://www.oecd.org/publications/managing-weather-related-disasters-in-southeast-asian-agriculture-9789264123533-en.htm" TargetMode="External"/><Relationship Id="rId19" Type="http://schemas.openxmlformats.org/officeDocument/2006/relationships/hyperlink" Target="https://www.econstor.eu/bitstream/10419/176769/1/1017744580.pdf" TargetMode="External"/><Relationship Id="rId31" Type="http://schemas.openxmlformats.org/officeDocument/2006/relationships/hyperlink" Target="https://jicari.repo.nii.ac.jp/?action=pages_view_main&amp;active_action=repository_view_main_item_detail&amp;item_id=862&amp;item_no=1&amp;page_id=13&amp;block_id=21" TargetMode="External"/><Relationship Id="rId44" Type="http://schemas.openxmlformats.org/officeDocument/2006/relationships/hyperlink" Target="https://ideas.repec.org/a/gam/jsusta/v10y2018i7p2255-d155404.html" TargetMode="External"/><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press.anu.edu.au/publications/vietnam-series/vietnam%E2%80%99s-post-1975-agrarian-reforms" TargetMode="External"/><Relationship Id="rId14" Type="http://schemas.openxmlformats.org/officeDocument/2006/relationships/hyperlink" Target="https://ssrn.com/abstract=3181785" TargetMode="External"/><Relationship Id="rId22" Type="http://schemas.openxmlformats.org/officeDocument/2006/relationships/hyperlink" Target="https://mail.google.com/mail/u/0/?ui=2&amp;ik=98e23e7e7e&amp;view=lg&amp;msg=164a295b16eb6978" TargetMode="External"/><Relationship Id="rId27" Type="http://schemas.openxmlformats.org/officeDocument/2006/relationships/hyperlink" Target="https://mail.google.com/mail/u/0/?ui=2&amp;ik=98e23e7e7e&amp;view=lg&amp;msg=164a295b16eb6978" TargetMode="External"/><Relationship Id="rId30" Type="http://schemas.openxmlformats.org/officeDocument/2006/relationships/hyperlink" Target="https://mail.google.com/mail/u/0/?ui=2&amp;ik=98e23e7e7e&amp;view=lg&amp;msg=164a295b16eb6978" TargetMode="External"/><Relationship Id="rId35" Type="http://schemas.openxmlformats.org/officeDocument/2006/relationships/hyperlink" Target="http://www.ncbi.nlm.nih.gov/pmc/articles/PMC5810026/" TargetMode="External"/><Relationship Id="rId43" Type="http://schemas.openxmlformats.org/officeDocument/2006/relationships/hyperlink" Target="https://mail.google.com/mail/u/0/?ui=2&amp;ik=98e23e7e7e&amp;view=lg&amp;msg=164a295b16eb6978" TargetMode="External"/><Relationship Id="rId48" Type="http://schemas.openxmlformats.org/officeDocument/2006/relationships/hyperlink" Target="http://www.worldbank.org/documents" TargetMode="External"/><Relationship Id="rId8" Type="http://schemas.openxmlformats.org/officeDocument/2006/relationships/hyperlink" Target="https://mail.google.com/mail/u/0/?ui=2&amp;ik=98e23e7e7e&amp;view=lg&amp;msg=164a295b16eb6978"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44</Pages>
  <Words>17745</Words>
  <Characters>101152</Characters>
  <Application>Microsoft Office Word</Application>
  <DocSecurity>0</DocSecurity>
  <Lines>842</Lines>
  <Paragraphs>237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118660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Tran Đ. Hoanh</dc:creator>
  <cp:lastModifiedBy>Tran Đ. Hoanh</cp:lastModifiedBy>
  <cp:revision>1</cp:revision>
  <dcterms:created xsi:type="dcterms:W3CDTF">2018-07-17T14:04:00Z</dcterms:created>
  <dcterms:modified xsi:type="dcterms:W3CDTF">2018-07-17T14:32:00Z</dcterms:modified>
</cp:coreProperties>
</file>