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0A5E" w:rsidRPr="00620A5E" w:rsidRDefault="00620A5E" w:rsidP="00620A5E">
      <w:pPr>
        <w:spacing w:before="100" w:beforeAutospacing="1" w:after="100" w:afterAutospacing="1"/>
        <w:rPr>
          <w:rFonts w:eastAsia="Times New Roman"/>
          <w:color w:val="FF0000"/>
        </w:rPr>
      </w:pPr>
      <w:bookmarkStart w:id="0" w:name="_top"/>
      <w:bookmarkEnd w:id="0"/>
      <w:r w:rsidRPr="00620A5E">
        <w:rPr>
          <w:rFonts w:eastAsia="Times New Roman"/>
          <w:b/>
          <w:bCs/>
          <w:color w:val="FF0000"/>
        </w:rPr>
        <w:t>New research on development issues in Vietnam - Volume 10, number 4 (2018 March 14)</w:t>
      </w:r>
    </w:p>
    <w:p w:rsidR="00620A5E" w:rsidRDefault="00620A5E" w:rsidP="00620A5E">
      <w:pPr>
        <w:spacing w:before="100" w:beforeAutospacing="1" w:after="100" w:afterAutospacing="1"/>
        <w:rPr>
          <w:rFonts w:eastAsia="Times New Roman"/>
        </w:rPr>
      </w:pPr>
      <w:bookmarkStart w:id="1" w:name="_GoBack"/>
      <w:bookmarkEnd w:id="1"/>
    </w:p>
    <w:p w:rsidR="00620A5E" w:rsidRPr="00713DED" w:rsidRDefault="00620A5E" w:rsidP="00620A5E">
      <w:pPr>
        <w:spacing w:before="100" w:beforeAutospacing="1" w:after="100" w:afterAutospacing="1"/>
        <w:rPr>
          <w:rFonts w:eastAsia="Times New Roman"/>
          <w:b/>
        </w:rPr>
      </w:pPr>
      <w:hyperlink w:anchor="m_-9074501289396108005__Toc508808151" w:history="1">
        <w:r w:rsidRPr="00713DED">
          <w:rPr>
            <w:rFonts w:eastAsia="Times New Roman"/>
            <w:b/>
            <w:color w:val="0000FF"/>
            <w:u w:val="single"/>
          </w:rPr>
          <w:t>Agriculture and Rural developm</w:t>
        </w:r>
        <w:r w:rsidRPr="00713DED">
          <w:rPr>
            <w:rFonts w:eastAsia="Times New Roman"/>
            <w:b/>
            <w:color w:val="0000FF"/>
            <w:u w:val="single"/>
          </w:rPr>
          <w:t>e</w:t>
        </w:r>
        <w:r w:rsidRPr="00713DED">
          <w:rPr>
            <w:rFonts w:eastAsia="Times New Roman"/>
            <w:b/>
            <w:color w:val="0000FF"/>
            <w:u w:val="single"/>
          </w:rPr>
          <w:t>nt</w:t>
        </w:r>
      </w:hyperlink>
    </w:p>
    <w:p w:rsidR="00620A5E" w:rsidRPr="00620A5E" w:rsidRDefault="00620A5E" w:rsidP="00620A5E">
      <w:pPr>
        <w:numPr>
          <w:ilvl w:val="0"/>
          <w:numId w:val="1"/>
        </w:numPr>
        <w:spacing w:before="100" w:beforeAutospacing="1" w:after="100" w:afterAutospacing="1"/>
        <w:rPr>
          <w:rFonts w:eastAsia="Times New Roman"/>
        </w:rPr>
      </w:pPr>
      <w:hyperlink w:anchor="m_-9074501289396108005__Toc508808152" w:history="1">
        <w:r w:rsidRPr="00620A5E">
          <w:rPr>
            <w:rFonts w:eastAsia="Times New Roman"/>
            <w:color w:val="0000FF"/>
            <w:u w:val="single"/>
          </w:rPr>
          <w:t>Impact and Adaptation of South-East Asian Farmers to Climate Change: Conclusions and Policy Recommendations.</w:t>
        </w:r>
      </w:hyperlink>
    </w:p>
    <w:p w:rsidR="00620A5E" w:rsidRPr="00620A5E" w:rsidRDefault="00620A5E" w:rsidP="00620A5E">
      <w:pPr>
        <w:numPr>
          <w:ilvl w:val="0"/>
          <w:numId w:val="1"/>
        </w:numPr>
        <w:spacing w:before="100" w:beforeAutospacing="1" w:after="100" w:afterAutospacing="1"/>
        <w:rPr>
          <w:rFonts w:eastAsia="Times New Roman"/>
        </w:rPr>
      </w:pPr>
      <w:hyperlink w:anchor="m_-9074501289396108005__Toc508808153" w:history="1">
        <w:r w:rsidRPr="00620A5E">
          <w:rPr>
            <w:rFonts w:eastAsia="Times New Roman"/>
            <w:color w:val="0000FF"/>
            <w:u w:val="single"/>
          </w:rPr>
          <w:t>Structural Ricardian Analysis of South-East Asian Agriculture.</w:t>
        </w:r>
      </w:hyperlink>
    </w:p>
    <w:p w:rsidR="00620A5E" w:rsidRPr="00620A5E" w:rsidRDefault="00620A5E" w:rsidP="00620A5E">
      <w:pPr>
        <w:numPr>
          <w:ilvl w:val="0"/>
          <w:numId w:val="1"/>
        </w:numPr>
        <w:spacing w:before="100" w:beforeAutospacing="1" w:after="100" w:afterAutospacing="1"/>
        <w:rPr>
          <w:rFonts w:eastAsia="Times New Roman"/>
        </w:rPr>
      </w:pPr>
      <w:hyperlink w:anchor="m_-9074501289396108005__Toc508808154" w:history="1">
        <w:r w:rsidRPr="00620A5E">
          <w:rPr>
            <w:rFonts w:eastAsia="Times New Roman"/>
            <w:color w:val="0000FF"/>
            <w:u w:val="single"/>
          </w:rPr>
          <w:t>Impact of risk aversion on fertiliser use: evidence from Vietnam.</w:t>
        </w:r>
      </w:hyperlink>
    </w:p>
    <w:p w:rsidR="00620A5E" w:rsidRPr="00620A5E" w:rsidRDefault="00620A5E" w:rsidP="00620A5E">
      <w:pPr>
        <w:numPr>
          <w:ilvl w:val="0"/>
          <w:numId w:val="1"/>
        </w:numPr>
        <w:spacing w:before="100" w:beforeAutospacing="1" w:after="100" w:afterAutospacing="1"/>
        <w:rPr>
          <w:rFonts w:eastAsia="Times New Roman"/>
        </w:rPr>
      </w:pPr>
      <w:hyperlink w:anchor="m_-9074501289396108005__Toc508808155" w:history="1">
        <w:r w:rsidRPr="00620A5E">
          <w:rPr>
            <w:rFonts w:eastAsia="Times New Roman"/>
            <w:color w:val="0000FF"/>
            <w:u w:val="single"/>
          </w:rPr>
          <w:t>Firewood extraction and use in rural Vietnam: a household model for three communes in Ha Tinh Province.</w:t>
        </w:r>
      </w:hyperlink>
    </w:p>
    <w:p w:rsidR="00620A5E" w:rsidRPr="00713DED" w:rsidRDefault="00620A5E" w:rsidP="00620A5E">
      <w:pPr>
        <w:spacing w:before="100" w:beforeAutospacing="1" w:after="100" w:afterAutospacing="1"/>
        <w:rPr>
          <w:rFonts w:eastAsia="Times New Roman"/>
          <w:b/>
        </w:rPr>
      </w:pPr>
      <w:hyperlink w:anchor="m_-9074501289396108005__Toc508808156" w:history="1">
        <w:r w:rsidRPr="00713DED">
          <w:rPr>
            <w:rFonts w:eastAsia="Times New Roman"/>
            <w:b/>
            <w:color w:val="0000FF"/>
            <w:u w:val="single"/>
          </w:rPr>
          <w:t>Banking and Financial sectors</w:t>
        </w:r>
      </w:hyperlink>
    </w:p>
    <w:p w:rsidR="00620A5E" w:rsidRPr="00620A5E" w:rsidRDefault="00620A5E" w:rsidP="00620A5E">
      <w:pPr>
        <w:numPr>
          <w:ilvl w:val="0"/>
          <w:numId w:val="2"/>
        </w:numPr>
        <w:spacing w:before="100" w:beforeAutospacing="1" w:after="100" w:afterAutospacing="1"/>
        <w:rPr>
          <w:rFonts w:eastAsia="Times New Roman"/>
        </w:rPr>
      </w:pPr>
      <w:hyperlink w:anchor="m_-9074501289396108005__Toc508808157" w:history="1">
        <w:r w:rsidRPr="00620A5E">
          <w:rPr>
            <w:rFonts w:eastAsia="Times New Roman"/>
            <w:color w:val="0000FF"/>
            <w:u w:val="single"/>
          </w:rPr>
          <w:t>Discrimination, Social Capital, and Financial Constraints: The Case of Viet Nam.</w:t>
        </w:r>
      </w:hyperlink>
    </w:p>
    <w:p w:rsidR="00620A5E" w:rsidRPr="00620A5E" w:rsidRDefault="00620A5E" w:rsidP="00620A5E">
      <w:pPr>
        <w:numPr>
          <w:ilvl w:val="0"/>
          <w:numId w:val="2"/>
        </w:numPr>
        <w:spacing w:before="100" w:beforeAutospacing="1" w:after="100" w:afterAutospacing="1"/>
        <w:rPr>
          <w:rFonts w:eastAsia="Times New Roman"/>
        </w:rPr>
      </w:pPr>
      <w:hyperlink w:anchor="m_-9074501289396108005__Toc508808158" w:history="1">
        <w:r w:rsidRPr="00620A5E">
          <w:rPr>
            <w:rFonts w:eastAsia="Times New Roman"/>
            <w:color w:val="0000FF"/>
            <w:u w:val="single"/>
          </w:rPr>
          <w:t>Is there a demand for flood insurance in Vietnam? Results from a choice experiment.</w:t>
        </w:r>
      </w:hyperlink>
    </w:p>
    <w:p w:rsidR="00620A5E" w:rsidRPr="00620A5E" w:rsidRDefault="00620A5E" w:rsidP="00620A5E">
      <w:pPr>
        <w:numPr>
          <w:ilvl w:val="0"/>
          <w:numId w:val="2"/>
        </w:numPr>
        <w:spacing w:before="100" w:beforeAutospacing="1" w:after="100" w:afterAutospacing="1"/>
        <w:rPr>
          <w:rFonts w:eastAsia="Times New Roman"/>
        </w:rPr>
      </w:pPr>
      <w:hyperlink w:anchor="m_-9074501289396108005__Toc508808159" w:history="1">
        <w:r w:rsidRPr="00620A5E">
          <w:rPr>
            <w:rFonts w:eastAsia="Times New Roman"/>
            <w:color w:val="0000FF"/>
            <w:u w:val="single"/>
          </w:rPr>
          <w:t>Channels of monetary policy transmission in Vietnam.</w:t>
        </w:r>
      </w:hyperlink>
    </w:p>
    <w:p w:rsidR="00620A5E" w:rsidRPr="00713DED" w:rsidRDefault="00620A5E" w:rsidP="00620A5E">
      <w:pPr>
        <w:spacing w:before="100" w:beforeAutospacing="1" w:after="100" w:afterAutospacing="1"/>
        <w:rPr>
          <w:rFonts w:eastAsia="Times New Roman"/>
          <w:b/>
        </w:rPr>
      </w:pPr>
      <w:hyperlink w:anchor="m_-9074501289396108005__Toc508808160" w:history="1">
        <w:r w:rsidRPr="00713DED">
          <w:rPr>
            <w:rFonts w:eastAsia="Times New Roman"/>
            <w:b/>
            <w:color w:val="0000FF"/>
            <w:u w:val="single"/>
          </w:rPr>
          <w:t>Economic development</w:t>
        </w:r>
      </w:hyperlink>
    </w:p>
    <w:p w:rsidR="00620A5E" w:rsidRPr="00620A5E" w:rsidRDefault="00620A5E" w:rsidP="00620A5E">
      <w:pPr>
        <w:numPr>
          <w:ilvl w:val="0"/>
          <w:numId w:val="3"/>
        </w:numPr>
        <w:spacing w:before="100" w:beforeAutospacing="1" w:after="100" w:afterAutospacing="1"/>
        <w:rPr>
          <w:rFonts w:eastAsia="Times New Roman"/>
        </w:rPr>
      </w:pPr>
      <w:hyperlink w:anchor="m_-9074501289396108005__Toc508808161" w:history="1">
        <w:r w:rsidRPr="00620A5E">
          <w:rPr>
            <w:rFonts w:eastAsia="Times New Roman"/>
            <w:color w:val="0000FF"/>
            <w:u w:val="single"/>
          </w:rPr>
          <w:t>Assessment of Rice Export Interdependency between China and Vietnam Based on Empirical Approaches.</w:t>
        </w:r>
      </w:hyperlink>
    </w:p>
    <w:p w:rsidR="00620A5E" w:rsidRPr="00620A5E" w:rsidRDefault="00620A5E" w:rsidP="00620A5E">
      <w:pPr>
        <w:numPr>
          <w:ilvl w:val="0"/>
          <w:numId w:val="3"/>
        </w:numPr>
        <w:spacing w:before="100" w:beforeAutospacing="1" w:after="100" w:afterAutospacing="1"/>
        <w:rPr>
          <w:rFonts w:eastAsia="Times New Roman"/>
        </w:rPr>
      </w:pPr>
      <w:hyperlink w:anchor="m_-9074501289396108005__Toc508808162" w:history="1">
        <w:r w:rsidRPr="00620A5E">
          <w:rPr>
            <w:rFonts w:eastAsia="Times New Roman"/>
            <w:color w:val="0000FF"/>
            <w:u w:val="single"/>
          </w:rPr>
          <w:t>Oil price fluctuations and the small open economies of Southeast Asia: An analysis using vector autoregression with block exogeneity.</w:t>
        </w:r>
      </w:hyperlink>
    </w:p>
    <w:p w:rsidR="00620A5E" w:rsidRPr="00620A5E" w:rsidRDefault="00620A5E" w:rsidP="00620A5E">
      <w:pPr>
        <w:numPr>
          <w:ilvl w:val="0"/>
          <w:numId w:val="3"/>
        </w:numPr>
        <w:spacing w:before="100" w:beforeAutospacing="1" w:after="100" w:afterAutospacing="1"/>
        <w:rPr>
          <w:rFonts w:eastAsia="Times New Roman"/>
        </w:rPr>
      </w:pPr>
      <w:hyperlink w:anchor="m_-9074501289396108005__Toc508808163" w:history="1">
        <w:r w:rsidRPr="00620A5E">
          <w:rPr>
            <w:rFonts w:eastAsia="Times New Roman"/>
            <w:color w:val="0000FF"/>
            <w:u w:val="single"/>
          </w:rPr>
          <w:t>Vietnam in 2017: Flying Fast in Turbulence.</w:t>
        </w:r>
      </w:hyperlink>
    </w:p>
    <w:p w:rsidR="00620A5E" w:rsidRPr="00620A5E" w:rsidRDefault="00620A5E" w:rsidP="00620A5E">
      <w:pPr>
        <w:numPr>
          <w:ilvl w:val="0"/>
          <w:numId w:val="3"/>
        </w:numPr>
        <w:spacing w:before="100" w:beforeAutospacing="1" w:after="100" w:afterAutospacing="1"/>
        <w:rPr>
          <w:rFonts w:eastAsia="Times New Roman"/>
        </w:rPr>
      </w:pPr>
      <w:hyperlink w:anchor="m_-9074501289396108005__Toc508808164" w:history="1">
        <w:r w:rsidRPr="00620A5E">
          <w:rPr>
            <w:rFonts w:eastAsia="Times New Roman"/>
            <w:color w:val="0000FF"/>
            <w:u w:val="single"/>
          </w:rPr>
          <w:t>Japan's ODA in Globally Integrated CLMV Economies: Aid Effectiveness and Political Economy.</w:t>
        </w:r>
      </w:hyperlink>
    </w:p>
    <w:p w:rsidR="00620A5E" w:rsidRPr="00620A5E" w:rsidRDefault="00620A5E" w:rsidP="00620A5E">
      <w:pPr>
        <w:numPr>
          <w:ilvl w:val="0"/>
          <w:numId w:val="3"/>
        </w:numPr>
        <w:spacing w:before="100" w:beforeAutospacing="1" w:after="100" w:afterAutospacing="1"/>
        <w:rPr>
          <w:rFonts w:eastAsia="Times New Roman"/>
        </w:rPr>
      </w:pPr>
      <w:hyperlink w:anchor="m_-9074501289396108005__Toc508808165" w:history="1">
        <w:r w:rsidRPr="00620A5E">
          <w:rPr>
            <w:rFonts w:eastAsia="Times New Roman"/>
            <w:color w:val="0000FF"/>
            <w:u w:val="single"/>
          </w:rPr>
          <w:t>Business Formalization in Vietnam.</w:t>
        </w:r>
      </w:hyperlink>
    </w:p>
    <w:p w:rsidR="00620A5E" w:rsidRPr="00620A5E" w:rsidRDefault="00620A5E" w:rsidP="00620A5E">
      <w:pPr>
        <w:numPr>
          <w:ilvl w:val="0"/>
          <w:numId w:val="3"/>
        </w:numPr>
        <w:spacing w:before="100" w:beforeAutospacing="1" w:after="100" w:afterAutospacing="1"/>
        <w:rPr>
          <w:rFonts w:eastAsia="Times New Roman"/>
        </w:rPr>
      </w:pPr>
      <w:hyperlink w:anchor="m_-9074501289396108005__Toc508808166" w:history="1">
        <w:r w:rsidRPr="00620A5E">
          <w:rPr>
            <w:rFonts w:eastAsia="Times New Roman"/>
            <w:color w:val="0000FF"/>
            <w:u w:val="single"/>
          </w:rPr>
          <w:t>Corporate Social Responsibility Disclosure in Vietnam: A Longitudinal Study.</w:t>
        </w:r>
      </w:hyperlink>
    </w:p>
    <w:p w:rsidR="00620A5E" w:rsidRPr="00620A5E" w:rsidRDefault="00620A5E" w:rsidP="00620A5E">
      <w:pPr>
        <w:numPr>
          <w:ilvl w:val="0"/>
          <w:numId w:val="3"/>
        </w:numPr>
        <w:spacing w:before="100" w:beforeAutospacing="1" w:after="100" w:afterAutospacing="1"/>
        <w:rPr>
          <w:rFonts w:eastAsia="Times New Roman"/>
        </w:rPr>
      </w:pPr>
      <w:hyperlink w:anchor="m_-9074501289396108005__Toc508808167" w:history="1">
        <w:r w:rsidRPr="00620A5E">
          <w:rPr>
            <w:rFonts w:eastAsia="Times New Roman"/>
            <w:color w:val="0000FF"/>
            <w:u w:val="single"/>
          </w:rPr>
          <w:t>Does Taxation Stifle Corporate Investment? Firm-Level Evidence from ASEAN Countries.</w:t>
        </w:r>
      </w:hyperlink>
    </w:p>
    <w:p w:rsidR="00620A5E" w:rsidRPr="00620A5E" w:rsidRDefault="00620A5E" w:rsidP="00620A5E">
      <w:pPr>
        <w:numPr>
          <w:ilvl w:val="0"/>
          <w:numId w:val="3"/>
        </w:numPr>
        <w:spacing w:before="100" w:beforeAutospacing="1" w:after="100" w:afterAutospacing="1"/>
        <w:rPr>
          <w:rFonts w:eastAsia="Times New Roman"/>
        </w:rPr>
      </w:pPr>
      <w:hyperlink w:anchor="m_-9074501289396108005__Toc508808168" w:history="1">
        <w:r w:rsidRPr="00620A5E">
          <w:rPr>
            <w:rFonts w:eastAsia="Times New Roman"/>
            <w:color w:val="0000FF"/>
            <w:u w:val="single"/>
          </w:rPr>
          <w:t>The involvement in global value chains and its policy implication in Vietnam.</w:t>
        </w:r>
      </w:hyperlink>
    </w:p>
    <w:p w:rsidR="00620A5E" w:rsidRPr="00620A5E" w:rsidRDefault="00620A5E" w:rsidP="00620A5E">
      <w:pPr>
        <w:numPr>
          <w:ilvl w:val="0"/>
          <w:numId w:val="3"/>
        </w:numPr>
        <w:spacing w:before="100" w:beforeAutospacing="1" w:after="100" w:afterAutospacing="1"/>
        <w:rPr>
          <w:rFonts w:eastAsia="Times New Roman"/>
        </w:rPr>
      </w:pPr>
      <w:hyperlink w:anchor="m_-9074501289396108005__Toc508808169" w:history="1">
        <w:r w:rsidRPr="00620A5E">
          <w:rPr>
            <w:rFonts w:eastAsia="Times New Roman"/>
            <w:color w:val="0000FF"/>
            <w:u w:val="single"/>
          </w:rPr>
          <w:t>Regime-Switching Business Cycle Synchronization in the ASEAN.</w:t>
        </w:r>
      </w:hyperlink>
    </w:p>
    <w:p w:rsidR="00620A5E" w:rsidRPr="00620A5E" w:rsidRDefault="00620A5E" w:rsidP="00620A5E">
      <w:pPr>
        <w:numPr>
          <w:ilvl w:val="0"/>
          <w:numId w:val="3"/>
        </w:numPr>
        <w:spacing w:before="100" w:beforeAutospacing="1" w:after="100" w:afterAutospacing="1"/>
        <w:rPr>
          <w:rFonts w:eastAsia="Times New Roman"/>
        </w:rPr>
      </w:pPr>
      <w:hyperlink w:anchor="m_-9074501289396108005__Toc508808170" w:history="1">
        <w:r w:rsidRPr="00620A5E">
          <w:rPr>
            <w:rFonts w:eastAsia="Times New Roman"/>
            <w:color w:val="0000FF"/>
            <w:u w:val="single"/>
          </w:rPr>
          <w:t>Outward Foreign Direct Investment: The Case of Vietnam.</w:t>
        </w:r>
      </w:hyperlink>
    </w:p>
    <w:p w:rsidR="00620A5E" w:rsidRPr="00620A5E" w:rsidRDefault="00620A5E" w:rsidP="00620A5E">
      <w:pPr>
        <w:numPr>
          <w:ilvl w:val="0"/>
          <w:numId w:val="3"/>
        </w:numPr>
        <w:spacing w:before="100" w:beforeAutospacing="1" w:after="100" w:afterAutospacing="1"/>
        <w:rPr>
          <w:rFonts w:eastAsia="Times New Roman"/>
        </w:rPr>
      </w:pPr>
      <w:hyperlink w:anchor="m_-9074501289396108005__Toc508808171" w:history="1">
        <w:r w:rsidRPr="00620A5E">
          <w:rPr>
            <w:rFonts w:eastAsia="Times New Roman"/>
            <w:color w:val="0000FF"/>
            <w:u w:val="single"/>
          </w:rPr>
          <w:t>Relative costs and FDI: Why did Vietnam forge so far ahead?</w:t>
        </w:r>
      </w:hyperlink>
    </w:p>
    <w:p w:rsidR="00620A5E" w:rsidRPr="00620A5E" w:rsidRDefault="00620A5E" w:rsidP="00620A5E">
      <w:pPr>
        <w:numPr>
          <w:ilvl w:val="0"/>
          <w:numId w:val="3"/>
        </w:numPr>
        <w:spacing w:before="100" w:beforeAutospacing="1" w:after="100" w:afterAutospacing="1"/>
        <w:rPr>
          <w:rFonts w:eastAsia="Times New Roman"/>
        </w:rPr>
      </w:pPr>
      <w:hyperlink w:anchor="m_-9074501289396108005__Toc508808172" w:history="1">
        <w:r w:rsidRPr="00620A5E">
          <w:rPr>
            <w:rFonts w:eastAsia="Times New Roman"/>
            <w:color w:val="0000FF"/>
            <w:u w:val="single"/>
          </w:rPr>
          <w:t>The Use of Geographical Indications in Vietnam: A Promising Tool for Socioeconomic Development?</w:t>
        </w:r>
      </w:hyperlink>
    </w:p>
    <w:p w:rsidR="00620A5E" w:rsidRPr="00620A5E" w:rsidRDefault="00620A5E" w:rsidP="00620A5E">
      <w:pPr>
        <w:numPr>
          <w:ilvl w:val="0"/>
          <w:numId w:val="3"/>
        </w:numPr>
        <w:spacing w:before="100" w:beforeAutospacing="1" w:after="100" w:afterAutospacing="1"/>
        <w:rPr>
          <w:rFonts w:eastAsia="Times New Roman"/>
        </w:rPr>
      </w:pPr>
      <w:hyperlink w:anchor="m_-9074501289396108005__Toc508808173" w:history="1">
        <w:r w:rsidRPr="00620A5E">
          <w:rPr>
            <w:rFonts w:eastAsia="Times New Roman"/>
            <w:color w:val="0000FF"/>
            <w:u w:val="single"/>
          </w:rPr>
          <w:t>Vietnam: In Search of a New Growth Model.</w:t>
        </w:r>
      </w:hyperlink>
    </w:p>
    <w:p w:rsidR="00620A5E" w:rsidRPr="00620A5E" w:rsidRDefault="00620A5E" w:rsidP="00620A5E">
      <w:pPr>
        <w:numPr>
          <w:ilvl w:val="0"/>
          <w:numId w:val="3"/>
        </w:numPr>
        <w:spacing w:before="100" w:beforeAutospacing="1" w:after="100" w:afterAutospacing="1"/>
        <w:rPr>
          <w:rFonts w:eastAsia="Times New Roman"/>
        </w:rPr>
      </w:pPr>
      <w:hyperlink w:anchor="m_-9074501289396108005__Toc508808174" w:history="1">
        <w:r w:rsidRPr="00620A5E">
          <w:rPr>
            <w:rFonts w:eastAsia="Times New Roman"/>
            <w:color w:val="0000FF"/>
            <w:u w:val="single"/>
          </w:rPr>
          <w:t>Inflation and Public Debt Dynamics in ASEAN.</w:t>
        </w:r>
      </w:hyperlink>
    </w:p>
    <w:p w:rsidR="00620A5E" w:rsidRPr="00620A5E" w:rsidRDefault="00620A5E" w:rsidP="00620A5E">
      <w:pPr>
        <w:numPr>
          <w:ilvl w:val="0"/>
          <w:numId w:val="3"/>
        </w:numPr>
        <w:spacing w:before="100" w:beforeAutospacing="1" w:after="100" w:afterAutospacing="1"/>
        <w:rPr>
          <w:rFonts w:eastAsia="Times New Roman"/>
        </w:rPr>
      </w:pPr>
      <w:hyperlink w:anchor="m_-9074501289396108005__Toc508808175" w:history="1">
        <w:r w:rsidRPr="00620A5E">
          <w:rPr>
            <w:rFonts w:eastAsia="Times New Roman"/>
            <w:color w:val="0000FF"/>
            <w:u w:val="single"/>
          </w:rPr>
          <w:t xml:space="preserve">Tác động kinh tế và phân bổ </w:t>
        </w:r>
        <w:proofErr w:type="gramStart"/>
        <w:r w:rsidRPr="00620A5E">
          <w:rPr>
            <w:rFonts w:eastAsia="Times New Roman"/>
            <w:color w:val="0000FF"/>
            <w:u w:val="single"/>
          </w:rPr>
          <w:t>thu</w:t>
        </w:r>
        <w:proofErr w:type="gramEnd"/>
        <w:r w:rsidRPr="00620A5E">
          <w:rPr>
            <w:rFonts w:eastAsia="Times New Roman"/>
            <w:color w:val="0000FF"/>
            <w:u w:val="single"/>
          </w:rPr>
          <w:t xml:space="preserve"> nhập của Hiệp định Đối tác Toàn diện và Tiến bộ Xuyên Thái Bình Dương: Trường hợp của Việt Nam = Economic and distributional impacts of comprehensive and progressive agreement for Trans-Pacific Partnership: The case of Vietnam.</w:t>
        </w:r>
      </w:hyperlink>
    </w:p>
    <w:p w:rsidR="00620A5E" w:rsidRPr="00713DED" w:rsidRDefault="00620A5E" w:rsidP="00620A5E">
      <w:pPr>
        <w:spacing w:before="100" w:beforeAutospacing="1" w:after="100" w:afterAutospacing="1"/>
        <w:rPr>
          <w:rFonts w:eastAsia="Times New Roman"/>
          <w:b/>
        </w:rPr>
      </w:pPr>
      <w:hyperlink w:anchor="m_-9074501289396108005__Toc508808176" w:history="1">
        <w:r w:rsidRPr="00713DED">
          <w:rPr>
            <w:rFonts w:eastAsia="Times New Roman"/>
            <w:b/>
            <w:color w:val="0000FF"/>
            <w:u w:val="single"/>
          </w:rPr>
          <w:t>Education</w:t>
        </w:r>
      </w:hyperlink>
    </w:p>
    <w:p w:rsidR="00620A5E" w:rsidRPr="00620A5E" w:rsidRDefault="00620A5E" w:rsidP="00620A5E">
      <w:pPr>
        <w:numPr>
          <w:ilvl w:val="0"/>
          <w:numId w:val="4"/>
        </w:numPr>
        <w:spacing w:before="100" w:beforeAutospacing="1" w:after="100" w:afterAutospacing="1"/>
        <w:rPr>
          <w:rFonts w:eastAsia="Times New Roman"/>
        </w:rPr>
      </w:pPr>
      <w:hyperlink w:anchor="m_-9074501289396108005__Toc508808177" w:history="1">
        <w:r w:rsidRPr="00620A5E">
          <w:rPr>
            <w:rFonts w:eastAsia="Times New Roman"/>
            <w:color w:val="0000FF"/>
            <w:u w:val="single"/>
          </w:rPr>
          <w:t>Bilingual identity of ethnic minority students: insights from Vietnam.</w:t>
        </w:r>
      </w:hyperlink>
    </w:p>
    <w:p w:rsidR="00620A5E" w:rsidRPr="00620A5E" w:rsidRDefault="00620A5E" w:rsidP="00620A5E">
      <w:pPr>
        <w:numPr>
          <w:ilvl w:val="0"/>
          <w:numId w:val="4"/>
        </w:numPr>
        <w:spacing w:before="100" w:beforeAutospacing="1" w:after="100" w:afterAutospacing="1"/>
        <w:rPr>
          <w:rFonts w:eastAsia="Times New Roman"/>
        </w:rPr>
      </w:pPr>
      <w:hyperlink w:anchor="m_-9074501289396108005__Toc508808178" w:history="1">
        <w:r w:rsidRPr="00620A5E">
          <w:rPr>
            <w:rFonts w:eastAsia="Times New Roman"/>
            <w:color w:val="0000FF"/>
            <w:u w:val="single"/>
          </w:rPr>
          <w:t>Ethnic gaps in child education outcomes in Vietnam: an investigation using Young Lives data.</w:t>
        </w:r>
      </w:hyperlink>
    </w:p>
    <w:p w:rsidR="00620A5E" w:rsidRPr="00620A5E" w:rsidRDefault="00620A5E" w:rsidP="00620A5E">
      <w:pPr>
        <w:numPr>
          <w:ilvl w:val="0"/>
          <w:numId w:val="4"/>
        </w:numPr>
        <w:spacing w:before="100" w:beforeAutospacing="1" w:after="100" w:afterAutospacing="1"/>
        <w:rPr>
          <w:rFonts w:eastAsia="Times New Roman"/>
        </w:rPr>
      </w:pPr>
      <w:hyperlink w:anchor="m_-9074501289396108005__Toc508808179" w:history="1">
        <w:r w:rsidRPr="00620A5E">
          <w:rPr>
            <w:rFonts w:eastAsia="Times New Roman"/>
            <w:color w:val="0000FF"/>
            <w:u w:val="single"/>
          </w:rPr>
          <w:t>Academic Integrity in Higher Education: The Case of Plagiarism of Graduation Reports by Undergraduate Seniors in Vietnam.</w:t>
        </w:r>
      </w:hyperlink>
    </w:p>
    <w:p w:rsidR="00620A5E" w:rsidRPr="00620A5E" w:rsidRDefault="00620A5E" w:rsidP="00620A5E">
      <w:pPr>
        <w:numPr>
          <w:ilvl w:val="0"/>
          <w:numId w:val="4"/>
        </w:numPr>
        <w:spacing w:before="100" w:beforeAutospacing="1" w:after="100" w:afterAutospacing="1"/>
        <w:rPr>
          <w:rFonts w:eastAsia="Times New Roman"/>
        </w:rPr>
      </w:pPr>
      <w:hyperlink w:anchor="m_-9074501289396108005__Toc508808180" w:history="1">
        <w:r w:rsidRPr="00620A5E">
          <w:rPr>
            <w:rFonts w:eastAsia="Times New Roman"/>
            <w:color w:val="0000FF"/>
            <w:u w:val="single"/>
          </w:rPr>
          <w:t>Knowledge Sharing Barriers in Vietnamese Higher Education Institutions (HEIS).</w:t>
        </w:r>
      </w:hyperlink>
    </w:p>
    <w:p w:rsidR="00620A5E" w:rsidRPr="00620A5E" w:rsidRDefault="00620A5E" w:rsidP="00620A5E">
      <w:pPr>
        <w:numPr>
          <w:ilvl w:val="0"/>
          <w:numId w:val="4"/>
        </w:numPr>
        <w:spacing w:before="100" w:beforeAutospacing="1" w:after="100" w:afterAutospacing="1"/>
        <w:rPr>
          <w:rFonts w:eastAsia="Times New Roman"/>
        </w:rPr>
      </w:pPr>
      <w:hyperlink w:anchor="m_-9074501289396108005__Toc508808181" w:history="1">
        <w:r w:rsidRPr="00620A5E">
          <w:rPr>
            <w:rFonts w:eastAsia="Times New Roman"/>
            <w:color w:val="0000FF"/>
            <w:u w:val="single"/>
          </w:rPr>
          <w:t>Twin Privatization in Vietnam Higher Education: The Emergence of Private Higher Education and Partial Privatization of Public Universities.</w:t>
        </w:r>
      </w:hyperlink>
    </w:p>
    <w:p w:rsidR="00620A5E" w:rsidRPr="00620A5E" w:rsidRDefault="00620A5E" w:rsidP="00620A5E">
      <w:pPr>
        <w:numPr>
          <w:ilvl w:val="0"/>
          <w:numId w:val="4"/>
        </w:numPr>
        <w:spacing w:before="100" w:beforeAutospacing="1" w:after="100" w:afterAutospacing="1"/>
        <w:rPr>
          <w:rFonts w:eastAsia="Times New Roman"/>
        </w:rPr>
      </w:pPr>
      <w:hyperlink w:anchor="m_-9074501289396108005__Toc508808182" w:history="1">
        <w:r w:rsidRPr="00620A5E">
          <w:rPr>
            <w:rFonts w:eastAsia="Times New Roman"/>
            <w:color w:val="0000FF"/>
            <w:u w:val="single"/>
          </w:rPr>
          <w:t>Primary education in Vietnam and pupil online engagement.</w:t>
        </w:r>
      </w:hyperlink>
    </w:p>
    <w:p w:rsidR="00620A5E" w:rsidRPr="00713DED" w:rsidRDefault="00620A5E" w:rsidP="00620A5E">
      <w:pPr>
        <w:spacing w:before="100" w:beforeAutospacing="1" w:after="100" w:afterAutospacing="1"/>
        <w:rPr>
          <w:rFonts w:eastAsia="Times New Roman"/>
          <w:b/>
        </w:rPr>
      </w:pPr>
      <w:hyperlink w:anchor="m_-9074501289396108005__Toc508808183" w:history="1">
        <w:r w:rsidRPr="00713DED">
          <w:rPr>
            <w:rFonts w:eastAsia="Times New Roman"/>
            <w:b/>
            <w:color w:val="0000FF"/>
            <w:u w:val="single"/>
          </w:rPr>
          <w:t>Environment</w:t>
        </w:r>
      </w:hyperlink>
    </w:p>
    <w:p w:rsidR="00620A5E" w:rsidRPr="00620A5E" w:rsidRDefault="00620A5E" w:rsidP="00620A5E">
      <w:pPr>
        <w:numPr>
          <w:ilvl w:val="0"/>
          <w:numId w:val="5"/>
        </w:numPr>
        <w:spacing w:before="100" w:beforeAutospacing="1" w:after="100" w:afterAutospacing="1"/>
        <w:rPr>
          <w:rFonts w:eastAsia="Times New Roman"/>
        </w:rPr>
      </w:pPr>
      <w:hyperlink w:anchor="m_-9074501289396108005__Toc508808184" w:history="1">
        <w:r w:rsidRPr="00620A5E">
          <w:rPr>
            <w:rFonts w:eastAsia="Times New Roman"/>
            <w:color w:val="0000FF"/>
            <w:u w:val="single"/>
          </w:rPr>
          <w:t xml:space="preserve">Barriers and enablers to climate change adaptation in hierarchical governance systems: </w:t>
        </w:r>
        <w:proofErr w:type="gramStart"/>
        <w:r w:rsidRPr="00620A5E">
          <w:rPr>
            <w:rFonts w:eastAsia="Times New Roman"/>
            <w:color w:val="0000FF"/>
            <w:u w:val="single"/>
          </w:rPr>
          <w:t>the</w:t>
        </w:r>
        <w:proofErr w:type="gramEnd"/>
        <w:r w:rsidRPr="00620A5E">
          <w:rPr>
            <w:rFonts w:eastAsia="Times New Roman"/>
            <w:color w:val="0000FF"/>
            <w:u w:val="single"/>
          </w:rPr>
          <w:t xml:space="preserve"> case of Vietnam.</w:t>
        </w:r>
      </w:hyperlink>
    </w:p>
    <w:p w:rsidR="00620A5E" w:rsidRPr="00620A5E" w:rsidRDefault="00620A5E" w:rsidP="00620A5E">
      <w:pPr>
        <w:numPr>
          <w:ilvl w:val="0"/>
          <w:numId w:val="5"/>
        </w:numPr>
        <w:spacing w:before="100" w:beforeAutospacing="1" w:after="100" w:afterAutospacing="1"/>
        <w:rPr>
          <w:rFonts w:eastAsia="Times New Roman"/>
        </w:rPr>
      </w:pPr>
      <w:hyperlink w:anchor="m_-9074501289396108005__Toc508808185" w:history="1">
        <w:r w:rsidRPr="00620A5E">
          <w:rPr>
            <w:rFonts w:eastAsia="Times New Roman"/>
            <w:color w:val="0000FF"/>
            <w:u w:val="single"/>
          </w:rPr>
          <w:t>Climate Risk Vulnerability Assessment to inform sub-national decision making in Vietnam.</w:t>
        </w:r>
      </w:hyperlink>
    </w:p>
    <w:p w:rsidR="00620A5E" w:rsidRPr="00620A5E" w:rsidRDefault="00620A5E" w:rsidP="00620A5E">
      <w:pPr>
        <w:numPr>
          <w:ilvl w:val="0"/>
          <w:numId w:val="5"/>
        </w:numPr>
        <w:spacing w:before="100" w:beforeAutospacing="1" w:after="100" w:afterAutospacing="1"/>
        <w:rPr>
          <w:rFonts w:eastAsia="Times New Roman"/>
        </w:rPr>
      </w:pPr>
      <w:hyperlink w:anchor="m_-9074501289396108005__Toc508808186" w:history="1">
        <w:r w:rsidRPr="00620A5E">
          <w:rPr>
            <w:rFonts w:eastAsia="Times New Roman"/>
            <w:color w:val="0000FF"/>
            <w:u w:val="single"/>
          </w:rPr>
          <w:t>Multi-scale assessment of social vulnerability to climate change: An empirical study in coastal Vietnam.</w:t>
        </w:r>
      </w:hyperlink>
    </w:p>
    <w:p w:rsidR="00620A5E" w:rsidRPr="00620A5E" w:rsidRDefault="00620A5E" w:rsidP="00620A5E">
      <w:pPr>
        <w:numPr>
          <w:ilvl w:val="0"/>
          <w:numId w:val="5"/>
        </w:numPr>
        <w:spacing w:before="100" w:beforeAutospacing="1" w:after="100" w:afterAutospacing="1"/>
        <w:rPr>
          <w:rFonts w:eastAsia="Times New Roman"/>
        </w:rPr>
      </w:pPr>
      <w:hyperlink w:anchor="m_-9074501289396108005__Toc508808187" w:history="1">
        <w:r w:rsidRPr="00620A5E">
          <w:rPr>
            <w:rFonts w:eastAsia="Times New Roman"/>
            <w:color w:val="0000FF"/>
            <w:u w:val="single"/>
          </w:rPr>
          <w:t>A Review of the Integrated Effects of Changing Climate, Land Use, and Dams on Mekong River Hydrology.</w:t>
        </w:r>
      </w:hyperlink>
    </w:p>
    <w:p w:rsidR="00620A5E" w:rsidRPr="00620A5E" w:rsidRDefault="00620A5E" w:rsidP="00620A5E">
      <w:pPr>
        <w:numPr>
          <w:ilvl w:val="0"/>
          <w:numId w:val="5"/>
        </w:numPr>
        <w:spacing w:before="100" w:beforeAutospacing="1" w:after="100" w:afterAutospacing="1"/>
        <w:rPr>
          <w:rFonts w:eastAsia="Times New Roman"/>
        </w:rPr>
      </w:pPr>
      <w:hyperlink w:anchor="m_-9074501289396108005__Toc508808188" w:history="1">
        <w:r w:rsidRPr="00620A5E">
          <w:rPr>
            <w:rFonts w:eastAsia="Times New Roman"/>
            <w:color w:val="0000FF"/>
            <w:u w:val="single"/>
          </w:rPr>
          <w:t>South-East Asian Ricardian Studies: Bangladesh, Sri Lanka, Thailand, and Vietnam.</w:t>
        </w:r>
      </w:hyperlink>
    </w:p>
    <w:p w:rsidR="00620A5E" w:rsidRPr="00620A5E" w:rsidRDefault="00620A5E" w:rsidP="00620A5E">
      <w:pPr>
        <w:numPr>
          <w:ilvl w:val="0"/>
          <w:numId w:val="5"/>
        </w:numPr>
        <w:spacing w:before="100" w:beforeAutospacing="1" w:after="100" w:afterAutospacing="1"/>
        <w:rPr>
          <w:rFonts w:eastAsia="Times New Roman"/>
        </w:rPr>
      </w:pPr>
      <w:hyperlink w:anchor="m_-9074501289396108005__Toc508808189" w:history="1">
        <w:r w:rsidRPr="00620A5E">
          <w:rPr>
            <w:rFonts w:eastAsia="Times New Roman"/>
            <w:color w:val="0000FF"/>
            <w:u w:val="single"/>
          </w:rPr>
          <w:t>Assessment of Tangible Direct Flood Damage Using a Spatial Analysis Approach under the Effects of Climate Change: Case Study in an Urban Watershed in Hanoi, Vietnam.</w:t>
        </w:r>
      </w:hyperlink>
    </w:p>
    <w:p w:rsidR="00620A5E" w:rsidRPr="00620A5E" w:rsidRDefault="00620A5E" w:rsidP="00620A5E">
      <w:pPr>
        <w:numPr>
          <w:ilvl w:val="0"/>
          <w:numId w:val="5"/>
        </w:numPr>
        <w:spacing w:before="100" w:beforeAutospacing="1" w:after="100" w:afterAutospacing="1"/>
        <w:rPr>
          <w:rFonts w:eastAsia="Times New Roman"/>
        </w:rPr>
      </w:pPr>
      <w:hyperlink w:anchor="m_-9074501289396108005__Toc508808190" w:history="1">
        <w:r w:rsidRPr="00620A5E">
          <w:rPr>
            <w:rFonts w:eastAsia="Times New Roman"/>
            <w:color w:val="0000FF"/>
            <w:u w:val="single"/>
          </w:rPr>
          <w:t>Evidence that earthquakes have been triggered by reservoir in the Song Tranh 2 region, Vietnam.</w:t>
        </w:r>
      </w:hyperlink>
    </w:p>
    <w:p w:rsidR="00620A5E" w:rsidRPr="00620A5E" w:rsidRDefault="00620A5E" w:rsidP="00620A5E">
      <w:pPr>
        <w:numPr>
          <w:ilvl w:val="0"/>
          <w:numId w:val="5"/>
        </w:numPr>
        <w:spacing w:before="100" w:beforeAutospacing="1" w:after="100" w:afterAutospacing="1"/>
        <w:rPr>
          <w:rFonts w:eastAsia="Times New Roman"/>
        </w:rPr>
      </w:pPr>
      <w:hyperlink w:anchor="m_-9074501289396108005__Toc508808191" w:history="1">
        <w:r w:rsidRPr="00620A5E">
          <w:rPr>
            <w:rFonts w:eastAsia="Times New Roman"/>
            <w:color w:val="0000FF"/>
            <w:u w:val="single"/>
          </w:rPr>
          <w:t>Flood Risk Assessment: A View of Climate Change Impact at Vu Gia Thu Bon Catchment, Vietnam.</w:t>
        </w:r>
      </w:hyperlink>
    </w:p>
    <w:p w:rsidR="00620A5E" w:rsidRPr="00620A5E" w:rsidRDefault="00620A5E" w:rsidP="00620A5E">
      <w:pPr>
        <w:numPr>
          <w:ilvl w:val="0"/>
          <w:numId w:val="5"/>
        </w:numPr>
        <w:spacing w:before="100" w:beforeAutospacing="1" w:after="100" w:afterAutospacing="1"/>
        <w:rPr>
          <w:rFonts w:eastAsia="Times New Roman"/>
        </w:rPr>
      </w:pPr>
      <w:hyperlink w:anchor="m_-9074501289396108005__Toc508808192" w:history="1">
        <w:r w:rsidRPr="00620A5E">
          <w:rPr>
            <w:rFonts w:eastAsia="Times New Roman"/>
            <w:color w:val="0000FF"/>
            <w:u w:val="single"/>
          </w:rPr>
          <w:t>Managing flood risks in the Mekong Delta: How to address emerging challenges under climate change and socioeconomic developments.</w:t>
        </w:r>
      </w:hyperlink>
    </w:p>
    <w:p w:rsidR="00620A5E" w:rsidRPr="00620A5E" w:rsidRDefault="00620A5E" w:rsidP="00620A5E">
      <w:pPr>
        <w:numPr>
          <w:ilvl w:val="0"/>
          <w:numId w:val="5"/>
        </w:numPr>
        <w:spacing w:before="100" w:beforeAutospacing="1" w:after="100" w:afterAutospacing="1"/>
        <w:rPr>
          <w:rFonts w:eastAsia="Times New Roman"/>
        </w:rPr>
      </w:pPr>
      <w:hyperlink w:anchor="m_-9074501289396108005__Toc508808193" w:history="1">
        <w:r w:rsidRPr="00620A5E">
          <w:rPr>
            <w:rFonts w:eastAsia="Times New Roman"/>
            <w:color w:val="0000FF"/>
            <w:u w:val="single"/>
          </w:rPr>
          <w:t>Analysis of recycling structures for e-waste in Vietnam.</w:t>
        </w:r>
      </w:hyperlink>
    </w:p>
    <w:p w:rsidR="00620A5E" w:rsidRPr="00620A5E" w:rsidRDefault="00620A5E" w:rsidP="00620A5E">
      <w:pPr>
        <w:numPr>
          <w:ilvl w:val="0"/>
          <w:numId w:val="5"/>
        </w:numPr>
        <w:spacing w:before="100" w:beforeAutospacing="1" w:after="100" w:afterAutospacing="1"/>
        <w:rPr>
          <w:rFonts w:eastAsia="Times New Roman"/>
        </w:rPr>
      </w:pPr>
      <w:hyperlink w:anchor="m_-9074501289396108005__Toc508808194" w:history="1">
        <w:r w:rsidRPr="00620A5E">
          <w:rPr>
            <w:rFonts w:eastAsia="Times New Roman"/>
            <w:color w:val="0000FF"/>
            <w:u w:val="single"/>
          </w:rPr>
          <w:t>Improved rice residue burning emissions estimates: Accounting for practice-specific emission factors in air pollution assessments of Vietnam.</w:t>
        </w:r>
      </w:hyperlink>
    </w:p>
    <w:p w:rsidR="00620A5E" w:rsidRPr="00620A5E" w:rsidRDefault="00620A5E" w:rsidP="00620A5E">
      <w:pPr>
        <w:numPr>
          <w:ilvl w:val="0"/>
          <w:numId w:val="5"/>
        </w:numPr>
        <w:spacing w:before="100" w:beforeAutospacing="1" w:after="100" w:afterAutospacing="1"/>
        <w:rPr>
          <w:rFonts w:eastAsia="Times New Roman"/>
        </w:rPr>
      </w:pPr>
      <w:hyperlink w:anchor="m_-9074501289396108005__Toc508808195" w:history="1">
        <w:r w:rsidRPr="00620A5E">
          <w:rPr>
            <w:rFonts w:eastAsia="Times New Roman"/>
            <w:color w:val="0000FF"/>
            <w:u w:val="single"/>
          </w:rPr>
          <w:t>Paraquat in Surface Water of Some Streams in Mai Chau Province, the Northern Vietnam: Concentrations, Profiles, and Human Risk Assessments.</w:t>
        </w:r>
      </w:hyperlink>
    </w:p>
    <w:p w:rsidR="00620A5E" w:rsidRPr="00620A5E" w:rsidRDefault="00620A5E" w:rsidP="00620A5E">
      <w:pPr>
        <w:numPr>
          <w:ilvl w:val="0"/>
          <w:numId w:val="5"/>
        </w:numPr>
        <w:spacing w:before="100" w:beforeAutospacing="1" w:after="100" w:afterAutospacing="1"/>
        <w:rPr>
          <w:rFonts w:eastAsia="Times New Roman"/>
        </w:rPr>
      </w:pPr>
      <w:hyperlink w:anchor="m_-9074501289396108005__Toc508808196" w:history="1">
        <w:r w:rsidRPr="00620A5E">
          <w:rPr>
            <w:rFonts w:eastAsia="Times New Roman"/>
            <w:color w:val="0000FF"/>
            <w:u w:val="single"/>
          </w:rPr>
          <w:t>Structural analysis of the interrelationship between economic activities and water pollution in Vietnam in the period of 2000–2011.</w:t>
        </w:r>
      </w:hyperlink>
    </w:p>
    <w:p w:rsidR="00620A5E" w:rsidRPr="00620A5E" w:rsidRDefault="00620A5E" w:rsidP="00620A5E">
      <w:pPr>
        <w:numPr>
          <w:ilvl w:val="0"/>
          <w:numId w:val="5"/>
        </w:numPr>
        <w:spacing w:before="100" w:beforeAutospacing="1" w:after="100" w:afterAutospacing="1"/>
        <w:rPr>
          <w:rFonts w:eastAsia="Times New Roman"/>
        </w:rPr>
      </w:pPr>
      <w:hyperlink w:anchor="m_-9074501289396108005__Toc508808197" w:history="1">
        <w:r w:rsidRPr="00620A5E">
          <w:rPr>
            <w:rFonts w:eastAsia="Times New Roman"/>
            <w:color w:val="0000FF"/>
            <w:u w:val="single"/>
          </w:rPr>
          <w:t>Development of nutrient cycle through agricultural activities of a rural area in the North of Vietnam.</w:t>
        </w:r>
      </w:hyperlink>
    </w:p>
    <w:p w:rsidR="00620A5E" w:rsidRPr="00713DED" w:rsidRDefault="00620A5E" w:rsidP="00620A5E">
      <w:pPr>
        <w:spacing w:before="100" w:beforeAutospacing="1" w:after="100" w:afterAutospacing="1"/>
        <w:rPr>
          <w:rFonts w:eastAsia="Times New Roman"/>
          <w:b/>
        </w:rPr>
      </w:pPr>
      <w:hyperlink w:anchor="m_-9074501289396108005__Toc508808198" w:history="1">
        <w:r w:rsidRPr="00713DED">
          <w:rPr>
            <w:rFonts w:eastAsia="Times New Roman"/>
            <w:b/>
            <w:color w:val="0000FF"/>
            <w:u w:val="single"/>
          </w:rPr>
          <w:t>Gender issues</w:t>
        </w:r>
      </w:hyperlink>
    </w:p>
    <w:p w:rsidR="00620A5E" w:rsidRPr="00620A5E" w:rsidRDefault="00620A5E" w:rsidP="00620A5E">
      <w:pPr>
        <w:numPr>
          <w:ilvl w:val="0"/>
          <w:numId w:val="6"/>
        </w:numPr>
        <w:spacing w:before="100" w:beforeAutospacing="1" w:after="100" w:afterAutospacing="1"/>
        <w:rPr>
          <w:rFonts w:eastAsia="Times New Roman"/>
        </w:rPr>
      </w:pPr>
      <w:hyperlink w:anchor="m_-9074501289396108005__Toc508808199" w:history="1">
        <w:r w:rsidRPr="00620A5E">
          <w:rPr>
            <w:rFonts w:eastAsia="Times New Roman"/>
            <w:color w:val="0000FF"/>
            <w:u w:val="single"/>
          </w:rPr>
          <w:t>Gender Streaming in Vietnam.</w:t>
        </w:r>
      </w:hyperlink>
    </w:p>
    <w:p w:rsidR="00620A5E" w:rsidRPr="00713DED" w:rsidRDefault="00620A5E" w:rsidP="00620A5E">
      <w:pPr>
        <w:spacing w:before="100" w:beforeAutospacing="1" w:after="100" w:afterAutospacing="1"/>
        <w:rPr>
          <w:rFonts w:eastAsia="Times New Roman"/>
          <w:b/>
        </w:rPr>
      </w:pPr>
      <w:hyperlink w:anchor="m_-9074501289396108005__Toc508808200" w:history="1">
        <w:r w:rsidRPr="00713DED">
          <w:rPr>
            <w:rFonts w:eastAsia="Times New Roman"/>
            <w:b/>
            <w:color w:val="0000FF"/>
            <w:u w:val="single"/>
          </w:rPr>
          <w:t>Governance</w:t>
        </w:r>
      </w:hyperlink>
    </w:p>
    <w:p w:rsidR="00620A5E" w:rsidRPr="00620A5E" w:rsidRDefault="00620A5E" w:rsidP="00620A5E">
      <w:pPr>
        <w:numPr>
          <w:ilvl w:val="0"/>
          <w:numId w:val="7"/>
        </w:numPr>
        <w:spacing w:before="100" w:beforeAutospacing="1" w:after="100" w:afterAutospacing="1"/>
        <w:rPr>
          <w:rFonts w:eastAsia="Times New Roman"/>
        </w:rPr>
      </w:pPr>
      <w:hyperlink w:anchor="m_-9074501289396108005__Toc508808201" w:history="1">
        <w:r w:rsidRPr="00620A5E">
          <w:rPr>
            <w:rFonts w:eastAsia="Times New Roman"/>
            <w:color w:val="0000FF"/>
            <w:u w:val="single"/>
          </w:rPr>
          <w:t>Public Discourse and Constitutional Change: A Comparison of Vietnam and Indonesia.</w:t>
        </w:r>
      </w:hyperlink>
    </w:p>
    <w:p w:rsidR="00620A5E" w:rsidRPr="00620A5E" w:rsidRDefault="00620A5E" w:rsidP="00620A5E">
      <w:pPr>
        <w:numPr>
          <w:ilvl w:val="0"/>
          <w:numId w:val="7"/>
        </w:numPr>
        <w:spacing w:before="100" w:beforeAutospacing="1" w:after="100" w:afterAutospacing="1"/>
        <w:rPr>
          <w:rFonts w:eastAsia="Times New Roman"/>
        </w:rPr>
      </w:pPr>
      <w:hyperlink w:anchor="m_-9074501289396108005__Toc508808202" w:history="1">
        <w:r w:rsidRPr="00620A5E">
          <w:rPr>
            <w:rFonts w:eastAsia="Times New Roman"/>
            <w:color w:val="0000FF"/>
            <w:u w:val="single"/>
          </w:rPr>
          <w:t>Mapping Variation of Civil Society Involvement in EU Trade Agreements: A CSI Index.</w:t>
        </w:r>
      </w:hyperlink>
    </w:p>
    <w:p w:rsidR="00620A5E" w:rsidRPr="00620A5E" w:rsidRDefault="00620A5E" w:rsidP="00620A5E">
      <w:pPr>
        <w:numPr>
          <w:ilvl w:val="0"/>
          <w:numId w:val="7"/>
        </w:numPr>
        <w:spacing w:before="100" w:beforeAutospacing="1" w:after="100" w:afterAutospacing="1"/>
        <w:rPr>
          <w:rFonts w:eastAsia="Times New Roman"/>
        </w:rPr>
      </w:pPr>
      <w:hyperlink w:anchor="m_-9074501289396108005__Toc508808203" w:history="1">
        <w:r w:rsidRPr="00620A5E">
          <w:rPr>
            <w:rFonts w:eastAsia="Times New Roman"/>
            <w:color w:val="0000FF"/>
            <w:u w:val="single"/>
          </w:rPr>
          <w:t xml:space="preserve">Transnational Advocacy </w:t>
        </w:r>
        <w:proofErr w:type="gramStart"/>
        <w:r w:rsidRPr="00620A5E">
          <w:rPr>
            <w:rFonts w:eastAsia="Times New Roman"/>
            <w:color w:val="0000FF"/>
            <w:u w:val="single"/>
          </w:rPr>
          <w:t>Without</w:t>
        </w:r>
        <w:proofErr w:type="gramEnd"/>
        <w:r w:rsidRPr="00620A5E">
          <w:rPr>
            <w:rFonts w:eastAsia="Times New Roman"/>
            <w:color w:val="0000FF"/>
            <w:u w:val="single"/>
          </w:rPr>
          <w:t xml:space="preserve"> Northern NGO Partners: Vietnamese NGOs in the HIV/AIDS Sector.</w:t>
        </w:r>
      </w:hyperlink>
    </w:p>
    <w:p w:rsidR="00620A5E" w:rsidRPr="00620A5E" w:rsidRDefault="00620A5E" w:rsidP="00620A5E">
      <w:pPr>
        <w:numPr>
          <w:ilvl w:val="0"/>
          <w:numId w:val="7"/>
        </w:numPr>
        <w:spacing w:before="100" w:beforeAutospacing="1" w:after="100" w:afterAutospacing="1"/>
        <w:rPr>
          <w:rFonts w:eastAsia="Times New Roman"/>
        </w:rPr>
      </w:pPr>
      <w:hyperlink w:anchor="m_-9074501289396108005__Toc508808204" w:history="1">
        <w:r w:rsidRPr="00620A5E">
          <w:rPr>
            <w:rFonts w:eastAsia="Times New Roman"/>
            <w:color w:val="0000FF"/>
            <w:u w:val="single"/>
          </w:rPr>
          <w:t>The Myth of a Centralised Socialist State in Vietnam: What Kind of a Myth?</w:t>
        </w:r>
      </w:hyperlink>
    </w:p>
    <w:p w:rsidR="00620A5E" w:rsidRPr="00713DED" w:rsidRDefault="00620A5E" w:rsidP="00620A5E">
      <w:pPr>
        <w:spacing w:before="100" w:beforeAutospacing="1" w:after="100" w:afterAutospacing="1"/>
        <w:rPr>
          <w:rFonts w:eastAsia="Times New Roman"/>
          <w:b/>
        </w:rPr>
      </w:pPr>
      <w:hyperlink w:anchor="m_-9074501289396108005__Toc508808205" w:history="1">
        <w:r w:rsidRPr="00713DED">
          <w:rPr>
            <w:rFonts w:eastAsia="Times New Roman"/>
            <w:b/>
            <w:color w:val="0000FF"/>
            <w:u w:val="single"/>
          </w:rPr>
          <w:t>Health care</w:t>
        </w:r>
      </w:hyperlink>
    </w:p>
    <w:p w:rsidR="00620A5E" w:rsidRPr="00620A5E" w:rsidRDefault="00620A5E" w:rsidP="00620A5E">
      <w:pPr>
        <w:numPr>
          <w:ilvl w:val="0"/>
          <w:numId w:val="8"/>
        </w:numPr>
        <w:spacing w:before="100" w:beforeAutospacing="1" w:after="100" w:afterAutospacing="1"/>
        <w:rPr>
          <w:rFonts w:eastAsia="Times New Roman"/>
        </w:rPr>
      </w:pPr>
      <w:hyperlink w:anchor="m_-9074501289396108005__Toc508808206" w:history="1">
        <w:r w:rsidRPr="00620A5E">
          <w:rPr>
            <w:rFonts w:eastAsia="Times New Roman"/>
            <w:color w:val="0000FF"/>
            <w:u w:val="single"/>
          </w:rPr>
          <w:t>Comparison of the Determinants of the Health Service System and the Health Status of the People in the Greater Mekong Subregion (GMS).</w:t>
        </w:r>
      </w:hyperlink>
    </w:p>
    <w:p w:rsidR="00620A5E" w:rsidRPr="00620A5E" w:rsidRDefault="00620A5E" w:rsidP="00620A5E">
      <w:pPr>
        <w:numPr>
          <w:ilvl w:val="0"/>
          <w:numId w:val="8"/>
        </w:numPr>
        <w:spacing w:before="100" w:beforeAutospacing="1" w:after="100" w:afterAutospacing="1"/>
        <w:rPr>
          <w:rFonts w:eastAsia="Times New Roman"/>
        </w:rPr>
      </w:pPr>
      <w:hyperlink w:anchor="m_-9074501289396108005__Toc508808207" w:history="1">
        <w:r w:rsidRPr="00620A5E">
          <w:rPr>
            <w:rFonts w:eastAsia="Times New Roman"/>
            <w:color w:val="0000FF"/>
            <w:u w:val="single"/>
          </w:rPr>
          <w:t>Comparative epidemiology of highly pathogenic avian influenza virus H5N1 and H5N6 in Vietnamese live bird markets: spatio-temporal patterns of distribution and risk factors.</w:t>
        </w:r>
      </w:hyperlink>
    </w:p>
    <w:p w:rsidR="00620A5E" w:rsidRPr="00620A5E" w:rsidRDefault="00620A5E" w:rsidP="00620A5E">
      <w:pPr>
        <w:numPr>
          <w:ilvl w:val="0"/>
          <w:numId w:val="8"/>
        </w:numPr>
        <w:spacing w:before="100" w:beforeAutospacing="1" w:after="100" w:afterAutospacing="1"/>
        <w:rPr>
          <w:rFonts w:eastAsia="Times New Roman"/>
        </w:rPr>
      </w:pPr>
      <w:hyperlink w:anchor="m_-9074501289396108005__Toc508808208" w:history="1">
        <w:r w:rsidRPr="00620A5E">
          <w:rPr>
            <w:rFonts w:eastAsia="Times New Roman"/>
            <w:color w:val="0000FF"/>
            <w:u w:val="single"/>
          </w:rPr>
          <w:t>Association between user fees and dropout from methadone maintenance therapy: Results of a cohort study in Vietnam.</w:t>
        </w:r>
      </w:hyperlink>
    </w:p>
    <w:p w:rsidR="00620A5E" w:rsidRPr="00620A5E" w:rsidRDefault="00620A5E" w:rsidP="00620A5E">
      <w:pPr>
        <w:numPr>
          <w:ilvl w:val="0"/>
          <w:numId w:val="8"/>
        </w:numPr>
        <w:spacing w:before="100" w:beforeAutospacing="1" w:after="100" w:afterAutospacing="1"/>
        <w:rPr>
          <w:rFonts w:eastAsia="Times New Roman"/>
        </w:rPr>
      </w:pPr>
      <w:hyperlink w:anchor="m_-9074501289396108005__Toc508808209" w:history="1">
        <w:r w:rsidRPr="00620A5E">
          <w:rPr>
            <w:rFonts w:eastAsia="Times New Roman"/>
            <w:color w:val="0000FF"/>
            <w:u w:val="single"/>
          </w:rPr>
          <w:t>Breast cancer services in Vietnam: a scoping review.</w:t>
        </w:r>
      </w:hyperlink>
    </w:p>
    <w:p w:rsidR="00620A5E" w:rsidRPr="00620A5E" w:rsidRDefault="00620A5E" w:rsidP="00620A5E">
      <w:pPr>
        <w:numPr>
          <w:ilvl w:val="0"/>
          <w:numId w:val="8"/>
        </w:numPr>
        <w:spacing w:before="100" w:beforeAutospacing="1" w:after="100" w:afterAutospacing="1"/>
        <w:rPr>
          <w:rFonts w:eastAsia="Times New Roman"/>
        </w:rPr>
      </w:pPr>
      <w:hyperlink w:anchor="m_-9074501289396108005__Toc508808210" w:history="1">
        <w:r w:rsidRPr="00620A5E">
          <w:rPr>
            <w:rFonts w:eastAsia="Times New Roman"/>
            <w:color w:val="0000FF"/>
            <w:u w:val="single"/>
          </w:rPr>
          <w:t>The effects of socioecological factors on variation of communicable diseases: A multiple-disease study at the national scale of Vietnam.</w:t>
        </w:r>
      </w:hyperlink>
    </w:p>
    <w:p w:rsidR="00620A5E" w:rsidRPr="00620A5E" w:rsidRDefault="00620A5E" w:rsidP="00620A5E">
      <w:pPr>
        <w:numPr>
          <w:ilvl w:val="0"/>
          <w:numId w:val="8"/>
        </w:numPr>
        <w:spacing w:before="100" w:beforeAutospacing="1" w:after="100" w:afterAutospacing="1"/>
        <w:rPr>
          <w:rFonts w:eastAsia="Times New Roman"/>
        </w:rPr>
      </w:pPr>
      <w:hyperlink w:anchor="m_-9074501289396108005__Toc508808211" w:history="1">
        <w:r w:rsidRPr="00620A5E">
          <w:rPr>
            <w:rFonts w:eastAsia="Times New Roman"/>
            <w:color w:val="0000FF"/>
            <w:u w:val="single"/>
          </w:rPr>
          <w:t>Outcomes of compulsory detention compared to community-based voluntary methadone maintenance treatment in Vietnam.</w:t>
        </w:r>
      </w:hyperlink>
    </w:p>
    <w:p w:rsidR="00620A5E" w:rsidRPr="00620A5E" w:rsidRDefault="00620A5E" w:rsidP="00620A5E">
      <w:pPr>
        <w:numPr>
          <w:ilvl w:val="0"/>
          <w:numId w:val="8"/>
        </w:numPr>
        <w:spacing w:before="100" w:beforeAutospacing="1" w:after="100" w:afterAutospacing="1"/>
        <w:rPr>
          <w:rFonts w:eastAsia="Times New Roman"/>
        </w:rPr>
      </w:pPr>
      <w:hyperlink w:anchor="m_-9074501289396108005__Toc508808212" w:history="1">
        <w:r w:rsidRPr="00620A5E">
          <w:rPr>
            <w:rFonts w:eastAsia="Times New Roman"/>
            <w:color w:val="0000FF"/>
            <w:u w:val="single"/>
          </w:rPr>
          <w:t>An educational intervention to improve hand hygiene compliance in Vietnam.</w:t>
        </w:r>
      </w:hyperlink>
    </w:p>
    <w:p w:rsidR="00620A5E" w:rsidRPr="00620A5E" w:rsidRDefault="00620A5E" w:rsidP="00620A5E">
      <w:pPr>
        <w:numPr>
          <w:ilvl w:val="0"/>
          <w:numId w:val="8"/>
        </w:numPr>
        <w:spacing w:before="100" w:beforeAutospacing="1" w:after="100" w:afterAutospacing="1"/>
        <w:rPr>
          <w:rFonts w:eastAsia="Times New Roman"/>
        </w:rPr>
      </w:pPr>
      <w:hyperlink w:anchor="m_-9074501289396108005__Toc508808213" w:history="1">
        <w:r w:rsidRPr="00620A5E">
          <w:rPr>
            <w:rFonts w:eastAsia="Times New Roman"/>
            <w:color w:val="0000FF"/>
            <w:u w:val="single"/>
          </w:rPr>
          <w:t>Integrating HIV/AIDS in Vietnam's Social Health Insurance Scheme: Experience and Lessons from the Health Finance and Governance Project, 2014–2017.</w:t>
        </w:r>
      </w:hyperlink>
    </w:p>
    <w:p w:rsidR="00620A5E" w:rsidRPr="00620A5E" w:rsidRDefault="00620A5E" w:rsidP="00620A5E">
      <w:pPr>
        <w:numPr>
          <w:ilvl w:val="0"/>
          <w:numId w:val="8"/>
        </w:numPr>
        <w:spacing w:before="100" w:beforeAutospacing="1" w:after="100" w:afterAutospacing="1"/>
        <w:rPr>
          <w:rFonts w:eastAsia="Times New Roman"/>
        </w:rPr>
      </w:pPr>
      <w:hyperlink w:anchor="m_-9074501289396108005__Toc508808214" w:history="1">
        <w:r w:rsidRPr="00620A5E">
          <w:rPr>
            <w:rFonts w:eastAsia="Times New Roman"/>
            <w:color w:val="0000FF"/>
            <w:u w:val="single"/>
          </w:rPr>
          <w:t>Growing challenges for HIV programmes in Asia: clinic population trends, 2003-2013.</w:t>
        </w:r>
      </w:hyperlink>
    </w:p>
    <w:p w:rsidR="00620A5E" w:rsidRPr="00620A5E" w:rsidRDefault="00620A5E" w:rsidP="00620A5E">
      <w:pPr>
        <w:numPr>
          <w:ilvl w:val="0"/>
          <w:numId w:val="8"/>
        </w:numPr>
        <w:spacing w:before="100" w:beforeAutospacing="1" w:after="100" w:afterAutospacing="1"/>
        <w:rPr>
          <w:rFonts w:eastAsia="Times New Roman"/>
        </w:rPr>
      </w:pPr>
      <w:hyperlink w:anchor="m_-9074501289396108005__Toc508808215" w:history="1">
        <w:proofErr w:type="gramStart"/>
        <w:r w:rsidRPr="00620A5E">
          <w:rPr>
            <w:rFonts w:eastAsia="Times New Roman"/>
            <w:color w:val="0000FF"/>
            <w:u w:val="single"/>
          </w:rPr>
          <w:t>mCME</w:t>
        </w:r>
        <w:proofErr w:type="gramEnd"/>
        <w:r w:rsidRPr="00620A5E">
          <w:rPr>
            <w:rFonts w:eastAsia="Times New Roman"/>
            <w:color w:val="0000FF"/>
            <w:u w:val="single"/>
          </w:rPr>
          <w:t xml:space="preserve"> project V.2.0: randomised controlled trial of a revised SMS-based continuing medical education intervention among HIV clinicians in Vietnam.</w:t>
        </w:r>
      </w:hyperlink>
    </w:p>
    <w:p w:rsidR="00620A5E" w:rsidRPr="00620A5E" w:rsidRDefault="00620A5E" w:rsidP="00620A5E">
      <w:pPr>
        <w:numPr>
          <w:ilvl w:val="0"/>
          <w:numId w:val="8"/>
        </w:numPr>
        <w:spacing w:before="100" w:beforeAutospacing="1" w:after="100" w:afterAutospacing="1"/>
        <w:rPr>
          <w:rFonts w:eastAsia="Times New Roman"/>
        </w:rPr>
      </w:pPr>
      <w:hyperlink w:anchor="m_-9074501289396108005__Toc508808216" w:history="1">
        <w:r w:rsidRPr="00620A5E">
          <w:rPr>
            <w:rFonts w:eastAsia="Times New Roman"/>
            <w:color w:val="0000FF"/>
            <w:u w:val="single"/>
          </w:rPr>
          <w:t>Public attitude towards restrictions on persons with mental illness in greater Hanoi area, Vietnam.</w:t>
        </w:r>
      </w:hyperlink>
    </w:p>
    <w:p w:rsidR="00620A5E" w:rsidRPr="00620A5E" w:rsidRDefault="00620A5E" w:rsidP="00620A5E">
      <w:pPr>
        <w:numPr>
          <w:ilvl w:val="0"/>
          <w:numId w:val="8"/>
        </w:numPr>
        <w:spacing w:before="100" w:beforeAutospacing="1" w:after="100" w:afterAutospacing="1"/>
        <w:rPr>
          <w:rFonts w:eastAsia="Times New Roman"/>
        </w:rPr>
      </w:pPr>
      <w:hyperlink w:anchor="m_-9074501289396108005__Toc508808217" w:history="1">
        <w:r w:rsidRPr="00620A5E">
          <w:rPr>
            <w:rFonts w:eastAsia="Times New Roman"/>
            <w:color w:val="0000FF"/>
            <w:u w:val="single"/>
          </w:rPr>
          <w:t>Acceptance and perceptions of generic substitution among pharmacists: A preliminary study in Vietnam.</w:t>
        </w:r>
      </w:hyperlink>
    </w:p>
    <w:p w:rsidR="00620A5E" w:rsidRPr="00620A5E" w:rsidRDefault="00620A5E" w:rsidP="00620A5E">
      <w:pPr>
        <w:numPr>
          <w:ilvl w:val="0"/>
          <w:numId w:val="8"/>
        </w:numPr>
        <w:spacing w:before="100" w:beforeAutospacing="1" w:after="100" w:afterAutospacing="1"/>
        <w:rPr>
          <w:rFonts w:eastAsia="Times New Roman"/>
        </w:rPr>
      </w:pPr>
      <w:hyperlink w:anchor="m_-9074501289396108005__Toc508808218" w:history="1">
        <w:r w:rsidRPr="00620A5E">
          <w:rPr>
            <w:rFonts w:eastAsia="Times New Roman"/>
            <w:color w:val="0000FF"/>
            <w:u w:val="single"/>
          </w:rPr>
          <w:t>[Antibiotic Residue in Environmental Water in Vietnam] [Full text in Japanese].</w:t>
        </w:r>
      </w:hyperlink>
    </w:p>
    <w:p w:rsidR="00620A5E" w:rsidRPr="00620A5E" w:rsidRDefault="00620A5E" w:rsidP="00620A5E">
      <w:pPr>
        <w:numPr>
          <w:ilvl w:val="0"/>
          <w:numId w:val="8"/>
        </w:numPr>
        <w:spacing w:before="100" w:beforeAutospacing="1" w:after="100" w:afterAutospacing="1"/>
        <w:rPr>
          <w:rFonts w:eastAsia="Times New Roman"/>
        </w:rPr>
      </w:pPr>
      <w:hyperlink w:anchor="m_-9074501289396108005__Toc508808219" w:history="1">
        <w:r w:rsidRPr="00620A5E">
          <w:rPr>
            <w:rFonts w:eastAsia="Times New Roman"/>
            <w:color w:val="0000FF"/>
            <w:u w:val="single"/>
          </w:rPr>
          <w:t>Antibiotic resistance: Implications of hospital practices for public health: A study from Hanoi, Vietnam [PhD thesis].</w:t>
        </w:r>
      </w:hyperlink>
    </w:p>
    <w:p w:rsidR="00620A5E" w:rsidRPr="00620A5E" w:rsidRDefault="00620A5E" w:rsidP="00620A5E">
      <w:pPr>
        <w:numPr>
          <w:ilvl w:val="0"/>
          <w:numId w:val="8"/>
        </w:numPr>
        <w:spacing w:before="100" w:beforeAutospacing="1" w:after="100" w:afterAutospacing="1"/>
        <w:rPr>
          <w:rFonts w:eastAsia="Times New Roman"/>
        </w:rPr>
      </w:pPr>
      <w:hyperlink w:anchor="m_-9074501289396108005__Toc508808220" w:history="1">
        <w:r w:rsidRPr="00620A5E">
          <w:rPr>
            <w:rFonts w:eastAsia="Times New Roman"/>
            <w:color w:val="0000FF"/>
            <w:u w:val="single"/>
          </w:rPr>
          <w:t>Medical Abortion Provision by Pharmacies and Drug Sellers in Low- and Middle-Income Countries: A Systematic Review.</w:t>
        </w:r>
      </w:hyperlink>
    </w:p>
    <w:p w:rsidR="00620A5E" w:rsidRPr="00713DED" w:rsidRDefault="00620A5E" w:rsidP="00620A5E">
      <w:pPr>
        <w:spacing w:before="100" w:beforeAutospacing="1" w:after="100" w:afterAutospacing="1"/>
        <w:rPr>
          <w:rFonts w:eastAsia="Times New Roman"/>
          <w:b/>
        </w:rPr>
      </w:pPr>
      <w:hyperlink w:anchor="m_-9074501289396108005__Toc508808221" w:history="1">
        <w:r w:rsidRPr="00713DED">
          <w:rPr>
            <w:rFonts w:eastAsia="Times New Roman"/>
            <w:b/>
            <w:color w:val="0000FF"/>
            <w:u w:val="single"/>
          </w:rPr>
          <w:t>Urban development</w:t>
        </w:r>
      </w:hyperlink>
    </w:p>
    <w:p w:rsidR="00620A5E" w:rsidRPr="00620A5E" w:rsidRDefault="00620A5E" w:rsidP="00620A5E">
      <w:pPr>
        <w:numPr>
          <w:ilvl w:val="0"/>
          <w:numId w:val="9"/>
        </w:numPr>
        <w:spacing w:before="100" w:beforeAutospacing="1" w:after="100" w:afterAutospacing="1"/>
        <w:rPr>
          <w:rFonts w:eastAsia="Times New Roman"/>
        </w:rPr>
      </w:pPr>
      <w:hyperlink w:anchor="m_-9074501289396108005__Toc508808222" w:history="1">
        <w:r w:rsidRPr="00620A5E">
          <w:rPr>
            <w:rFonts w:eastAsia="Times New Roman"/>
            <w:color w:val="0000FF"/>
            <w:u w:val="single"/>
          </w:rPr>
          <w:t xml:space="preserve">Multiscale remote sensing of urbanization in Ho Chi Minh city, Vietnam - A focused </w:t>
        </w:r>
        <w:proofErr w:type="gramStart"/>
        <w:r w:rsidRPr="00620A5E">
          <w:rPr>
            <w:rFonts w:eastAsia="Times New Roman"/>
            <w:color w:val="0000FF"/>
            <w:u w:val="single"/>
          </w:rPr>
          <w:t>study</w:t>
        </w:r>
        <w:proofErr w:type="gramEnd"/>
        <w:r w:rsidRPr="00620A5E">
          <w:rPr>
            <w:rFonts w:eastAsia="Times New Roman"/>
            <w:color w:val="0000FF"/>
            <w:u w:val="single"/>
          </w:rPr>
          <w:t xml:space="preserve"> of the south.</w:t>
        </w:r>
      </w:hyperlink>
    </w:p>
    <w:p w:rsidR="00620A5E" w:rsidRPr="00713DED" w:rsidRDefault="00620A5E" w:rsidP="00620A5E">
      <w:pPr>
        <w:spacing w:before="100" w:beforeAutospacing="1" w:after="100" w:afterAutospacing="1"/>
        <w:rPr>
          <w:rFonts w:eastAsia="Times New Roman"/>
          <w:b/>
        </w:rPr>
      </w:pPr>
      <w:hyperlink w:anchor="m_-9074501289396108005__Toc508808223" w:history="1">
        <w:r w:rsidRPr="00713DED">
          <w:rPr>
            <w:rFonts w:eastAsia="Times New Roman"/>
            <w:b/>
            <w:color w:val="0000FF"/>
            <w:u w:val="single"/>
          </w:rPr>
          <w:t>Labor</w:t>
        </w:r>
      </w:hyperlink>
    </w:p>
    <w:p w:rsidR="00620A5E" w:rsidRPr="00620A5E" w:rsidRDefault="00620A5E" w:rsidP="00620A5E">
      <w:pPr>
        <w:numPr>
          <w:ilvl w:val="0"/>
          <w:numId w:val="10"/>
        </w:numPr>
        <w:spacing w:before="100" w:beforeAutospacing="1" w:after="100" w:afterAutospacing="1"/>
        <w:rPr>
          <w:rFonts w:eastAsia="Times New Roman"/>
        </w:rPr>
      </w:pPr>
      <w:hyperlink w:anchor="m_-9074501289396108005__Toc508808224" w:history="1">
        <w:r w:rsidRPr="00620A5E">
          <w:rPr>
            <w:rFonts w:eastAsia="Times New Roman"/>
            <w:color w:val="0000FF"/>
            <w:u w:val="single"/>
          </w:rPr>
          <w:t>Labour Law and (In</w:t>
        </w:r>
        <w:proofErr w:type="gramStart"/>
        <w:r w:rsidRPr="00620A5E">
          <w:rPr>
            <w:rFonts w:eastAsia="Times New Roman"/>
            <w:color w:val="0000FF"/>
            <w:u w:val="single"/>
          </w:rPr>
          <w:t>)justice</w:t>
        </w:r>
        <w:proofErr w:type="gramEnd"/>
        <w:r w:rsidRPr="00620A5E">
          <w:rPr>
            <w:rFonts w:eastAsia="Times New Roman"/>
            <w:color w:val="0000FF"/>
            <w:u w:val="single"/>
          </w:rPr>
          <w:t xml:space="preserve"> in Workers’ Letters in Vietnam.</w:t>
        </w:r>
      </w:hyperlink>
    </w:p>
    <w:p w:rsidR="00620A5E" w:rsidRPr="00713DED" w:rsidRDefault="00620A5E" w:rsidP="00620A5E">
      <w:pPr>
        <w:spacing w:before="100" w:beforeAutospacing="1" w:after="100" w:afterAutospacing="1"/>
        <w:rPr>
          <w:rFonts w:eastAsia="Times New Roman"/>
          <w:b/>
        </w:rPr>
      </w:pPr>
      <w:hyperlink w:anchor="m_-9074501289396108005__Toc508808225" w:history="1">
        <w:r w:rsidRPr="00713DED">
          <w:rPr>
            <w:rFonts w:eastAsia="Times New Roman"/>
            <w:b/>
            <w:color w:val="0000FF"/>
            <w:u w:val="single"/>
          </w:rPr>
          <w:t>Poverty</w:t>
        </w:r>
      </w:hyperlink>
    </w:p>
    <w:p w:rsidR="00620A5E" w:rsidRPr="00620A5E" w:rsidRDefault="00620A5E" w:rsidP="00620A5E">
      <w:pPr>
        <w:numPr>
          <w:ilvl w:val="0"/>
          <w:numId w:val="11"/>
        </w:numPr>
        <w:spacing w:before="100" w:beforeAutospacing="1" w:after="100" w:afterAutospacing="1"/>
        <w:rPr>
          <w:rFonts w:eastAsia="Times New Roman"/>
        </w:rPr>
      </w:pPr>
      <w:hyperlink w:anchor="m_-9074501289396108005__Toc508808226" w:history="1">
        <w:r w:rsidRPr="00620A5E">
          <w:rPr>
            <w:rFonts w:eastAsia="Times New Roman"/>
            <w:color w:val="0000FF"/>
            <w:u w:val="single"/>
          </w:rPr>
          <w:t>Access to Preferential Loans for Poverty Reduction and Rural Development: Evidence from Vietnam.</w:t>
        </w:r>
      </w:hyperlink>
    </w:p>
    <w:p w:rsidR="00620A5E" w:rsidRPr="00620A5E" w:rsidRDefault="00620A5E" w:rsidP="00620A5E">
      <w:pPr>
        <w:numPr>
          <w:ilvl w:val="0"/>
          <w:numId w:val="11"/>
        </w:numPr>
        <w:spacing w:before="100" w:beforeAutospacing="1" w:after="100" w:afterAutospacing="1"/>
        <w:rPr>
          <w:rFonts w:eastAsia="Times New Roman"/>
        </w:rPr>
      </w:pPr>
      <w:hyperlink w:anchor="m_-9074501289396108005__Toc508808227" w:history="1">
        <w:r w:rsidRPr="00620A5E">
          <w:rPr>
            <w:rFonts w:eastAsia="Times New Roman"/>
            <w:color w:val="0000FF"/>
            <w:u w:val="single"/>
          </w:rPr>
          <w:t>Dynamics of Spatial Inequality and Poverty: Evidence from Two Decades of Surveys in Vietnam, 1993-2014.</w:t>
        </w:r>
      </w:hyperlink>
    </w:p>
    <w:p w:rsidR="00620A5E" w:rsidRPr="00713DED" w:rsidRDefault="00620A5E" w:rsidP="00620A5E">
      <w:pPr>
        <w:spacing w:before="100" w:beforeAutospacing="1" w:after="100" w:afterAutospacing="1"/>
        <w:rPr>
          <w:rFonts w:eastAsia="Times New Roman"/>
          <w:b/>
        </w:rPr>
      </w:pPr>
      <w:hyperlink w:anchor="m_-9074501289396108005__Toc508808228" w:history="1">
        <w:r w:rsidRPr="00713DED">
          <w:rPr>
            <w:rFonts w:eastAsia="Times New Roman"/>
            <w:b/>
            <w:color w:val="0000FF"/>
            <w:u w:val="single"/>
          </w:rPr>
          <w:t>Social development</w:t>
        </w:r>
      </w:hyperlink>
    </w:p>
    <w:p w:rsidR="00620A5E" w:rsidRPr="00620A5E" w:rsidRDefault="00620A5E" w:rsidP="00620A5E">
      <w:pPr>
        <w:numPr>
          <w:ilvl w:val="0"/>
          <w:numId w:val="12"/>
        </w:numPr>
        <w:spacing w:before="100" w:beforeAutospacing="1" w:after="100" w:afterAutospacing="1"/>
        <w:rPr>
          <w:rFonts w:eastAsia="Times New Roman"/>
        </w:rPr>
      </w:pPr>
      <w:hyperlink w:anchor="m_-9074501289396108005__Toc508808229" w:history="1">
        <w:r w:rsidRPr="00620A5E">
          <w:rPr>
            <w:rFonts w:eastAsia="Times New Roman"/>
            <w:color w:val="0000FF"/>
            <w:u w:val="single"/>
          </w:rPr>
          <w:t>Social Security and Firm Performance: The Case of Vietnamese SMEs.</w:t>
        </w:r>
      </w:hyperlink>
    </w:p>
    <w:p w:rsidR="00620A5E" w:rsidRPr="00620A5E" w:rsidRDefault="00620A5E" w:rsidP="00620A5E">
      <w:pPr>
        <w:numPr>
          <w:ilvl w:val="0"/>
          <w:numId w:val="12"/>
        </w:numPr>
        <w:spacing w:before="100" w:beforeAutospacing="1" w:after="100" w:afterAutospacing="1"/>
        <w:rPr>
          <w:rFonts w:eastAsia="Times New Roman"/>
        </w:rPr>
      </w:pPr>
      <w:hyperlink w:anchor="m_-9074501289396108005__Toc508808230" w:history="1">
        <w:r w:rsidRPr="00620A5E">
          <w:rPr>
            <w:rFonts w:eastAsia="Times New Roman"/>
            <w:color w:val="0000FF"/>
            <w:u w:val="single"/>
          </w:rPr>
          <w:t>Cultivating Consumer Markets: Ethnic Minority Traders and the Refashioning of Cultural Commodities in the Sino-Vietnamese Border Uplands.</w:t>
        </w:r>
      </w:hyperlink>
    </w:p>
    <w:p w:rsidR="00620A5E" w:rsidRPr="00620A5E" w:rsidRDefault="00620A5E" w:rsidP="00620A5E">
      <w:pPr>
        <w:numPr>
          <w:ilvl w:val="0"/>
          <w:numId w:val="12"/>
        </w:numPr>
        <w:spacing w:before="100" w:beforeAutospacing="1" w:after="100" w:afterAutospacing="1"/>
        <w:rPr>
          <w:rFonts w:eastAsia="Times New Roman"/>
        </w:rPr>
      </w:pPr>
      <w:hyperlink w:anchor="m_-9074501289396108005__Toc508808231" w:history="1">
        <w:r w:rsidRPr="00620A5E">
          <w:rPr>
            <w:rFonts w:eastAsia="Times New Roman"/>
            <w:color w:val="0000FF"/>
            <w:u w:val="single"/>
          </w:rPr>
          <w:t>Discourses on alleged deception strategies among traders in the Sino–Vietnamese borderlands.</w:t>
        </w:r>
      </w:hyperlink>
    </w:p>
    <w:p w:rsidR="00620A5E" w:rsidRPr="00620A5E" w:rsidRDefault="00620A5E" w:rsidP="00620A5E">
      <w:pPr>
        <w:numPr>
          <w:ilvl w:val="0"/>
          <w:numId w:val="12"/>
        </w:numPr>
        <w:spacing w:before="100" w:beforeAutospacing="1" w:after="100" w:afterAutospacing="1"/>
        <w:rPr>
          <w:rFonts w:eastAsia="Times New Roman"/>
        </w:rPr>
      </w:pPr>
      <w:hyperlink w:anchor="m_-9074501289396108005__Toc508808232" w:history="1">
        <w:r w:rsidRPr="00620A5E">
          <w:rPr>
            <w:rFonts w:eastAsia="Times New Roman"/>
            <w:color w:val="0000FF"/>
            <w:u w:val="single"/>
          </w:rPr>
          <w:t>Ethnic minority traders and the refashioning of cultural commodities in the Sino–Vietnamese border uplands.</w:t>
        </w:r>
      </w:hyperlink>
    </w:p>
    <w:p w:rsidR="00620A5E" w:rsidRPr="00713DED" w:rsidRDefault="00620A5E" w:rsidP="00620A5E">
      <w:pPr>
        <w:spacing w:before="100" w:beforeAutospacing="1" w:after="100" w:afterAutospacing="1"/>
        <w:rPr>
          <w:rFonts w:eastAsia="Times New Roman"/>
          <w:b/>
        </w:rPr>
      </w:pPr>
      <w:hyperlink w:anchor="m_-9074501289396108005__Toc508808233" w:history="1">
        <w:r w:rsidRPr="00713DED">
          <w:rPr>
            <w:rFonts w:eastAsia="Times New Roman"/>
            <w:b/>
            <w:color w:val="0000FF"/>
            <w:u w:val="single"/>
          </w:rPr>
          <w:t>Water</w:t>
        </w:r>
      </w:hyperlink>
    </w:p>
    <w:p w:rsidR="00620A5E" w:rsidRPr="00620A5E" w:rsidRDefault="00620A5E" w:rsidP="00620A5E">
      <w:pPr>
        <w:numPr>
          <w:ilvl w:val="0"/>
          <w:numId w:val="13"/>
        </w:numPr>
        <w:spacing w:before="100" w:beforeAutospacing="1" w:after="100" w:afterAutospacing="1"/>
        <w:rPr>
          <w:rFonts w:eastAsia="Times New Roman"/>
        </w:rPr>
      </w:pPr>
      <w:hyperlink w:anchor="m_-9074501289396108005__Toc508808234" w:history="1">
        <w:r w:rsidRPr="00620A5E">
          <w:rPr>
            <w:rFonts w:eastAsia="Times New Roman"/>
            <w:color w:val="0000FF"/>
            <w:u w:val="single"/>
          </w:rPr>
          <w:t>Decision-making for systemic water risks: Insights from a participatory risk assessment process in Vietnam.</w:t>
        </w:r>
      </w:hyperlink>
    </w:p>
    <w:p w:rsidR="00620A5E" w:rsidRPr="00620A5E" w:rsidRDefault="00620A5E" w:rsidP="00620A5E">
      <w:pPr>
        <w:numPr>
          <w:ilvl w:val="0"/>
          <w:numId w:val="13"/>
        </w:numPr>
        <w:spacing w:before="100" w:beforeAutospacing="1" w:after="100" w:afterAutospacing="1"/>
        <w:rPr>
          <w:rFonts w:eastAsia="Times New Roman"/>
        </w:rPr>
      </w:pPr>
      <w:hyperlink w:anchor="m_-9074501289396108005__Toc508808235" w:history="1">
        <w:r w:rsidRPr="00620A5E">
          <w:rPr>
            <w:rFonts w:eastAsia="Times New Roman"/>
            <w:color w:val="0000FF"/>
            <w:u w:val="single"/>
          </w:rPr>
          <w:t>Desalination of brackish water for agriculture: Challenges and future perspectives for seawater intrusion areas in Vietnam.</w:t>
        </w:r>
      </w:hyperlink>
    </w:p>
    <w:p w:rsidR="00620A5E" w:rsidRPr="00713DED" w:rsidRDefault="00620A5E" w:rsidP="00620A5E">
      <w:pPr>
        <w:numPr>
          <w:ilvl w:val="0"/>
          <w:numId w:val="13"/>
        </w:numPr>
        <w:spacing w:before="100" w:beforeAutospacing="1" w:after="100" w:afterAutospacing="1"/>
        <w:rPr>
          <w:rFonts w:eastAsia="Times New Roman"/>
        </w:rPr>
      </w:pPr>
      <w:hyperlink w:anchor="m_-9074501289396108005__Toc508808236" w:history="1">
        <w:r w:rsidRPr="00620A5E">
          <w:rPr>
            <w:rFonts w:eastAsia="Times New Roman"/>
            <w:color w:val="0000FF"/>
            <w:u w:val="single"/>
          </w:rPr>
          <w:t>Vietnam’s Future Water Usage Mod</w:t>
        </w:r>
        <w:r w:rsidRPr="00620A5E">
          <w:rPr>
            <w:rFonts w:eastAsia="Times New Roman"/>
            <w:color w:val="0000FF"/>
            <w:u w:val="single"/>
          </w:rPr>
          <w:t>e</w:t>
        </w:r>
        <w:r w:rsidRPr="00620A5E">
          <w:rPr>
            <w:rFonts w:eastAsia="Times New Roman"/>
            <w:color w:val="0000FF"/>
            <w:u w:val="single"/>
          </w:rPr>
          <w:t>l: A Controlled Living Experiment.</w:t>
        </w:r>
      </w:hyperlink>
      <w:r w:rsidRPr="00713DED">
        <w:rPr>
          <w:rFonts w:ascii="Arial" w:eastAsia="Times New Roman" w:hAnsi="Arial" w:cs="Arial"/>
          <w:b/>
          <w:bCs/>
          <w:color w:val="FF0000"/>
          <w:sz w:val="20"/>
          <w:szCs w:val="20"/>
        </w:rPr>
        <w:t> </w:t>
      </w:r>
    </w:p>
    <w:p w:rsidR="00620A5E" w:rsidRPr="00620A5E" w:rsidRDefault="00620A5E" w:rsidP="00620A5E">
      <w:pPr>
        <w:spacing w:before="100" w:beforeAutospacing="1"/>
        <w:rPr>
          <w:rFonts w:eastAsia="Times New Roman"/>
        </w:rPr>
      </w:pPr>
      <w:r w:rsidRPr="00620A5E">
        <w:rPr>
          <w:rFonts w:ascii="Arial" w:eastAsia="Times New Roman" w:hAnsi="Arial" w:cs="Arial"/>
          <w:b/>
          <w:bCs/>
          <w:color w:val="FF0000"/>
          <w:sz w:val="20"/>
          <w:szCs w:val="20"/>
        </w:rPr>
        <w:t> </w:t>
      </w:r>
    </w:p>
    <w:p w:rsidR="00620A5E" w:rsidRPr="00620A5E" w:rsidRDefault="00620A5E" w:rsidP="00620A5E">
      <w:pPr>
        <w:spacing w:before="100" w:beforeAutospacing="1" w:after="100" w:afterAutospacing="1"/>
        <w:outlineLvl w:val="0"/>
        <w:rPr>
          <w:rFonts w:eastAsia="Times New Roman"/>
          <w:b/>
          <w:bCs/>
          <w:kern w:val="36"/>
          <w:sz w:val="48"/>
          <w:szCs w:val="48"/>
        </w:rPr>
      </w:pPr>
      <w:bookmarkStart w:id="2" w:name="m_-9074501289396108005__Toc508808151"/>
      <w:r w:rsidRPr="00620A5E">
        <w:rPr>
          <w:rFonts w:eastAsia="Times New Roman"/>
          <w:b/>
          <w:bCs/>
          <w:kern w:val="36"/>
          <w:sz w:val="48"/>
          <w:szCs w:val="48"/>
          <w:shd w:val="clear" w:color="auto" w:fill="D3D3D3"/>
        </w:rPr>
        <w:t>Agriculture and Rural development</w:t>
      </w:r>
      <w:bookmarkEnd w:id="2"/>
      <w:r w:rsidRPr="00620A5E">
        <w:rPr>
          <w:rFonts w:eastAsia="Times New Roman"/>
          <w:b/>
          <w:bCs/>
          <w:kern w:val="36"/>
          <w:sz w:val="48"/>
          <w:szCs w:val="48"/>
          <w:shd w:val="clear" w:color="auto" w:fill="D3D3D3"/>
        </w:rPr>
        <w:t xml:space="preserve"> </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3" w:name="m_-9074501289396108005__Hlk507510159"/>
      <w:bookmarkStart w:id="4" w:name="m_-9074501289396108005__Toc508808152"/>
      <w:bookmarkEnd w:id="3"/>
      <w:r w:rsidRPr="00620A5E">
        <w:rPr>
          <w:rFonts w:ascii="Calibri" w:eastAsia="Times New Roman" w:hAnsi="Calibri"/>
          <w:b/>
          <w:bCs/>
          <w:color w:val="800000"/>
          <w:sz w:val="22"/>
          <w:szCs w:val="22"/>
        </w:rPr>
        <w:t>Impact and Adaptation of South-East Asian Farmers to Climate Change: Conclusions and Policy Recommendations.</w:t>
      </w:r>
      <w:bookmarkEnd w:id="4"/>
    </w:p>
    <w:p w:rsidR="00620A5E" w:rsidRPr="00620A5E" w:rsidRDefault="00620A5E" w:rsidP="00620A5E">
      <w:pPr>
        <w:spacing w:before="100" w:beforeAutospacing="1"/>
        <w:rPr>
          <w:rFonts w:eastAsia="Times New Roman"/>
        </w:rPr>
      </w:pPr>
      <w:proofErr w:type="gramStart"/>
      <w:r w:rsidRPr="00620A5E">
        <w:rPr>
          <w:rFonts w:eastAsia="Times New Roman"/>
        </w:rPr>
        <w:t>Pradeep Kurukulasuriya and Robert Mendelsohn.</w:t>
      </w:r>
      <w:proofErr w:type="gramEnd"/>
      <w:r w:rsidRPr="00620A5E">
        <w:rPr>
          <w:rFonts w:eastAsia="Times New Roman"/>
        </w:rPr>
        <w:t xml:space="preserve"> Climate Change Economics, 2017, volume 8, number 3.</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This study finds that South-East Asian farming is sensitive to climate change. Traditional Ricardian studies at the country and regional levels reveal that net revenue is affected by seasonal climate. A structural Ricardian model of growing season choice reveals climate change will reduce net revenues in the near term by 4-8% and in the long term by 10-18%. The </w:t>
      </w:r>
      <w:proofErr w:type="gramStart"/>
      <w:r w:rsidRPr="00620A5E">
        <w:rPr>
          <w:rFonts w:eastAsia="Times New Roman"/>
        </w:rPr>
        <w:t>implications of this impact on key sustainable development goals such as poverty reduction is</w:t>
      </w:r>
      <w:proofErr w:type="gramEnd"/>
      <w:r w:rsidRPr="00620A5E">
        <w:rPr>
          <w:rFonts w:eastAsia="Times New Roman"/>
        </w:rPr>
        <w:t xml:space="preserve"> likely to be profound. The study finds that farmers who rely on cultivating in three seasons will be especially hard hit by climate change relative to those that rely only on a single season. The results indicate that farmers will switch from 3 seasons to 1 season per year and reduce some of the losses that they would otherwise sustain. An analysis of crop adaptation finds that farmers </w:t>
      </w:r>
      <w:r w:rsidRPr="00620A5E">
        <w:rPr>
          <w:rFonts w:eastAsia="Times New Roman"/>
        </w:rPr>
        <w:lastRenderedPageBreak/>
        <w:t>will also adjust irrigation, crop choice, and the timing of planting in response to climate change. The livestock adaptation study finds that farmers will move towards livestock as the climate warms. Farmers will also shift their choice of species away from large animals and move towards small animals. An analysis of perceptions finds that farmers throughout the region are aware that the temperature is rising and they generally perceive that precipitation is falling. Half of the farmers interviewed have begun to take measures such as those reported in this study to adapt to climate change. The overall results suggest that acting on their self-interest, the agriculture sector will undertake a great deal of adaptation on its own. However, measures taken by the government such as providing up-to-date weather reports, extension, irrigation, and assistance with new varieties can also be effective.</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5" w:name="m_-9074501289396108005__Toc508808153"/>
      <w:proofErr w:type="gramStart"/>
      <w:r w:rsidRPr="00620A5E">
        <w:rPr>
          <w:rFonts w:ascii="Calibri" w:eastAsia="Times New Roman" w:hAnsi="Calibri"/>
          <w:b/>
          <w:bCs/>
          <w:color w:val="800000"/>
          <w:sz w:val="22"/>
          <w:szCs w:val="22"/>
        </w:rPr>
        <w:t>Structural Ricardian Analysis of South-East Asian Agriculture.</w:t>
      </w:r>
      <w:bookmarkEnd w:id="5"/>
      <w:proofErr w:type="gramEnd"/>
    </w:p>
    <w:p w:rsidR="00620A5E" w:rsidRPr="00620A5E" w:rsidRDefault="00620A5E" w:rsidP="00620A5E">
      <w:pPr>
        <w:spacing w:before="100" w:beforeAutospacing="1"/>
        <w:rPr>
          <w:rFonts w:eastAsia="Times New Roman"/>
        </w:rPr>
      </w:pPr>
      <w:proofErr w:type="gramStart"/>
      <w:r w:rsidRPr="00620A5E">
        <w:rPr>
          <w:rFonts w:eastAsia="Times New Roman"/>
        </w:rPr>
        <w:t>Babatunde O. Abidoye, Pradeep Kurukulasuriya, Brian Reed and Robert Mendelsohn.</w:t>
      </w:r>
      <w:proofErr w:type="gramEnd"/>
      <w:r w:rsidRPr="00620A5E">
        <w:rPr>
          <w:rFonts w:eastAsia="Times New Roman"/>
        </w:rPr>
        <w:t xml:space="preserve"> Climate Change Economics, 2017, volume 8, number 3.</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This paper examines the impact of climate change on the net revenue (NR) of farmers from Bangladesh, Indonesia, Sri Lanka, Thailand, and Vietnam. Two Ricardian models are estimated: (1) a traditional Ricardian model of the impact of climate change on annual farm NR and (2) a structural Ricardian model that first estimates the number of growing seasons and then the net revenue per season. The traditional model reveals annual NR is sensitive to autumn and summer climate variables. The seasonal effects offset each other so that uniform marginal effects are insignificant. Future climate scenarios likely harm Sri Lanka but could either benefit or harm Indonesia depending on the climate scenario. The structural Ricardian model suggests climate change will reduce the net revenue of three-season farms and increase the revenue of one-season farms causing farmers to switch from three-season farming to one-season farming. </w:t>
      </w:r>
      <w:proofErr w:type="gramStart"/>
      <w:r w:rsidRPr="00620A5E">
        <w:rPr>
          <w:rFonts w:eastAsia="Times New Roman"/>
        </w:rPr>
        <w:t>Expected losses by 2100 for the region range from -10% to -18%.</w:t>
      </w:r>
      <w:proofErr w:type="gramEnd"/>
      <w:r w:rsidRPr="00620A5E">
        <w:rPr>
          <w:rFonts w:eastAsia="Times New Roman"/>
        </w:rPr>
        <w:t xml:space="preserve"> Impacts in Indonesia may be higher, ranging from -20% to -28%.</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w:t>
      </w:r>
      <w:hyperlink w:anchor="_top" w:history="1">
        <w:hyperlink w:anchor="_top" w:history="1">
          <w:r w:rsidR="00BD3162" w:rsidRPr="00620A5E">
            <w:rPr>
              <w:rFonts w:eastAsia="Times New Roman"/>
              <w:color w:val="0000FF"/>
              <w:u w:val="single"/>
            </w:rPr>
            <w:t>Back t</w:t>
          </w:r>
          <w:r w:rsidR="00BD3162" w:rsidRPr="00620A5E">
            <w:rPr>
              <w:rFonts w:eastAsia="Times New Roman"/>
              <w:color w:val="0000FF"/>
              <w:u w:val="single"/>
            </w:rPr>
            <w:t>o</w:t>
          </w:r>
          <w:r w:rsidR="00BD3162" w:rsidRPr="00620A5E">
            <w:rPr>
              <w:rFonts w:eastAsia="Times New Roman"/>
              <w:color w:val="0000FF"/>
              <w:u w:val="single"/>
            </w:rPr>
            <w:t xml:space="preserve">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6" w:name="m_-9074501289396108005__Toc508808154"/>
      <w:r w:rsidRPr="00620A5E">
        <w:rPr>
          <w:rFonts w:ascii="Calibri" w:eastAsia="Times New Roman" w:hAnsi="Calibri"/>
          <w:b/>
          <w:bCs/>
          <w:color w:val="800000"/>
          <w:sz w:val="22"/>
          <w:szCs w:val="22"/>
        </w:rPr>
        <w:t>Impact of risk aversion on fertiliser use: evidence from Vietnam.</w:t>
      </w:r>
      <w:bookmarkEnd w:id="6"/>
    </w:p>
    <w:p w:rsidR="00620A5E" w:rsidRPr="00620A5E" w:rsidRDefault="00620A5E" w:rsidP="00620A5E">
      <w:pPr>
        <w:spacing w:before="100" w:beforeAutospacing="1"/>
        <w:rPr>
          <w:rFonts w:eastAsia="Times New Roman"/>
        </w:rPr>
      </w:pPr>
      <w:proofErr w:type="gramStart"/>
      <w:r w:rsidRPr="00620A5E">
        <w:rPr>
          <w:rFonts w:eastAsia="Times New Roman"/>
        </w:rPr>
        <w:t>Ling Yee Khor, Susanne Ufer, Thea Nielsen and Manfred Zeller.</w:t>
      </w:r>
      <w:proofErr w:type="gramEnd"/>
      <w:r w:rsidRPr="00620A5E">
        <w:rPr>
          <w:rFonts w:eastAsia="Times New Roman"/>
        </w:rPr>
        <w:t xml:space="preserve"> Oxford Development Studies, 2018, pp. 1-14.</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Fake or substandard fertiliser is a growing concern in many countries. Even in places not affected by fertiliser quality problems, uncertainty could arise due to weather variability, soil </w:t>
      </w:r>
      <w:r w:rsidRPr="00620A5E">
        <w:rPr>
          <w:rFonts w:eastAsia="Times New Roman"/>
        </w:rPr>
        <w:lastRenderedPageBreak/>
        <w:t>quality, or doubts about the effectiveness of fertiliser in general. Past literature has shown that risk aversion leads to lower fertiliser use and farmers become less risk averse as they become wealthier. We build upon this literature by showing that the marginal effect itself might not be the same for farmers of different wealth levels either. In our study, the measures of risk aversion were elicited from two different techniques: a self-assessment question and a lottery game. Results from regression analysis show that the marginal effect of risk aversion on fertiliser use depends on the wealth levels of farmers. Low-wealth farmers reduce their fertiliser intensity when their risk aversion increases. The marginal effect for high-wealth farmers is insignificant.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7" w:name="m_-9074501289396108005__Toc508808155"/>
      <w:r w:rsidRPr="00620A5E">
        <w:rPr>
          <w:rFonts w:ascii="Calibri" w:eastAsia="Times New Roman" w:hAnsi="Calibri"/>
          <w:b/>
          <w:bCs/>
          <w:color w:val="800000"/>
          <w:sz w:val="22"/>
          <w:szCs w:val="22"/>
        </w:rPr>
        <w:t>Firewood extraction and use in rural Vietnam: a household model for three communes in Ha Tinh Province.</w:t>
      </w:r>
      <w:bookmarkEnd w:id="7"/>
    </w:p>
    <w:p w:rsidR="00620A5E" w:rsidRPr="00620A5E" w:rsidRDefault="00620A5E" w:rsidP="00620A5E">
      <w:pPr>
        <w:spacing w:before="100" w:beforeAutospacing="1"/>
        <w:rPr>
          <w:rFonts w:eastAsia="Times New Roman"/>
        </w:rPr>
      </w:pPr>
      <w:proofErr w:type="gramStart"/>
      <w:r w:rsidRPr="00620A5E">
        <w:rPr>
          <w:rFonts w:eastAsia="Times New Roman"/>
        </w:rPr>
        <w:t>Lien Tran Thi Kim, J. Doland Nichols and Kathryn Brown.</w:t>
      </w:r>
      <w:proofErr w:type="gramEnd"/>
      <w:r w:rsidRPr="00620A5E">
        <w:rPr>
          <w:rFonts w:eastAsia="Times New Roman"/>
        </w:rPr>
        <w:t xml:space="preserve"> Agroforestry Systems, 2017, volume 91, number 4, pp. 649-661.</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Rural households in Vietnam depend on firewood as a main energy source, although collection and use patterns are not well understood. Households in three communes in Cam Xuyen District, Ha Tinh Province, Vietnam, were surveyed to identify patterns of firewood extraction and use, preferred species and sources. Data was collected in meetings with commune leaders, households and key-informant interviews, using open and close-ended questionnaires and semi-structured interviews. Volumetric measurements of firewood use over 24 h were taken for a sample of households. All surveyed households depend on firewood as the primary fuel source for cooking and boiling water with highest mean volumes used for this purpose in middle-income households. Firewood is used as a free resource which brings important economic returns to the communes, both as a saleable item and for income generating activities such as cooking pig feed and making wine. Thirty-nine plant species were used as firewood and cutting living branches and whole trees was preferred. The most frequently extracted species are Cratoxylum formosum (Jacq.) </w:t>
      </w:r>
      <w:proofErr w:type="gramStart"/>
      <w:r w:rsidRPr="00620A5E">
        <w:rPr>
          <w:rFonts w:eastAsia="Times New Roman"/>
        </w:rPr>
        <w:t>Benth.</w:t>
      </w:r>
      <w:proofErr w:type="gramEnd"/>
      <w:r w:rsidRPr="00620A5E">
        <w:rPr>
          <w:rFonts w:eastAsia="Times New Roman"/>
        </w:rPr>
        <w:t xml:space="preserve"> </w:t>
      </w:r>
      <w:proofErr w:type="gramStart"/>
      <w:r w:rsidRPr="00620A5E">
        <w:rPr>
          <w:rFonts w:eastAsia="Times New Roman"/>
        </w:rPr>
        <w:t>&amp; Hook.f.</w:t>
      </w:r>
      <w:proofErr w:type="gramEnd"/>
      <w:r w:rsidRPr="00620A5E">
        <w:rPr>
          <w:rFonts w:eastAsia="Times New Roman"/>
        </w:rPr>
        <w:t xml:space="preserve"> </w:t>
      </w:r>
      <w:proofErr w:type="gramStart"/>
      <w:r w:rsidRPr="00620A5E">
        <w:rPr>
          <w:rFonts w:eastAsia="Times New Roman"/>
        </w:rPr>
        <w:t>ex</w:t>
      </w:r>
      <w:proofErr w:type="gramEnd"/>
      <w:r w:rsidRPr="00620A5E">
        <w:rPr>
          <w:rFonts w:eastAsia="Times New Roman"/>
        </w:rPr>
        <w:t xml:space="preserve"> Dyer, Castanopsis kawakamii Hayata, Betula alnoides Buch.-Ham. </w:t>
      </w:r>
      <w:proofErr w:type="gramStart"/>
      <w:r w:rsidRPr="00620A5E">
        <w:rPr>
          <w:rFonts w:eastAsia="Times New Roman"/>
        </w:rPr>
        <w:t>ex</w:t>
      </w:r>
      <w:proofErr w:type="gramEnd"/>
      <w:r w:rsidRPr="00620A5E">
        <w:rPr>
          <w:rFonts w:eastAsia="Times New Roman"/>
        </w:rPr>
        <w:t xml:space="preserve"> D. Don, Melia azedarach L., and Casuarina equisetifolia L. Higher income households have more private land to source firewood from, while poor and middle income households are heavily dependent on public lands and the nearby Kego Nature Reserve. Although the reserve is a protected area, the forest is viewed as an open access resource from which households in the three studied communes extract an estimated 7200 tonnes annually.</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6"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after="100" w:afterAutospacing="1"/>
        <w:outlineLvl w:val="0"/>
        <w:rPr>
          <w:rFonts w:eastAsia="Times New Roman"/>
          <w:b/>
          <w:bCs/>
          <w:kern w:val="36"/>
          <w:sz w:val="48"/>
          <w:szCs w:val="48"/>
        </w:rPr>
      </w:pPr>
      <w:bookmarkStart w:id="8" w:name="m_-9074501289396108005__Toc508808156"/>
      <w:r w:rsidRPr="00620A5E">
        <w:rPr>
          <w:rFonts w:eastAsia="Times New Roman"/>
          <w:b/>
          <w:bCs/>
          <w:kern w:val="36"/>
          <w:sz w:val="48"/>
          <w:szCs w:val="48"/>
          <w:shd w:val="clear" w:color="auto" w:fill="D3D3D3"/>
        </w:rPr>
        <w:t>Banking and Financial sectors</w:t>
      </w:r>
      <w:bookmarkEnd w:id="8"/>
      <w:r w:rsidRPr="00620A5E">
        <w:rPr>
          <w:rFonts w:eastAsia="Times New Roman"/>
          <w:b/>
          <w:bCs/>
          <w:kern w:val="36"/>
          <w:sz w:val="48"/>
          <w:szCs w:val="48"/>
          <w:shd w:val="clear" w:color="auto" w:fill="D3D3D3"/>
        </w:rPr>
        <w:t xml:space="preserve"> </w:t>
      </w:r>
    </w:p>
    <w:p w:rsidR="00620A5E" w:rsidRPr="00620A5E" w:rsidRDefault="00620A5E" w:rsidP="00620A5E">
      <w:pPr>
        <w:spacing w:before="100" w:beforeAutospacing="1"/>
        <w:rPr>
          <w:rFonts w:eastAsia="Times New Roman"/>
        </w:rPr>
      </w:pPr>
      <w:r w:rsidRPr="00620A5E">
        <w:rPr>
          <w:rFonts w:eastAsia="Times New Roman"/>
        </w:rPr>
        <w:lastRenderedPageBreak/>
        <w:t> </w:t>
      </w:r>
    </w:p>
    <w:p w:rsidR="00620A5E" w:rsidRPr="00620A5E" w:rsidRDefault="00620A5E" w:rsidP="00620A5E">
      <w:pPr>
        <w:outlineLvl w:val="1"/>
        <w:rPr>
          <w:rFonts w:eastAsia="Times New Roman"/>
          <w:b/>
          <w:bCs/>
          <w:sz w:val="36"/>
          <w:szCs w:val="36"/>
        </w:rPr>
      </w:pPr>
      <w:bookmarkStart w:id="9" w:name="m_-9074501289396108005__Toc508808157"/>
      <w:r w:rsidRPr="00620A5E">
        <w:rPr>
          <w:rFonts w:ascii="Calibri" w:eastAsia="Times New Roman" w:hAnsi="Calibri"/>
          <w:b/>
          <w:bCs/>
          <w:color w:val="800000"/>
          <w:sz w:val="22"/>
          <w:szCs w:val="22"/>
        </w:rPr>
        <w:t>Discrimination, Social Capital, and Financial Constraints: The Case of Viet Nam.</w:t>
      </w:r>
      <w:bookmarkEnd w:id="9"/>
    </w:p>
    <w:p w:rsidR="00620A5E" w:rsidRPr="00620A5E" w:rsidRDefault="00620A5E" w:rsidP="00620A5E">
      <w:pPr>
        <w:spacing w:before="100" w:beforeAutospacing="1"/>
        <w:rPr>
          <w:rFonts w:eastAsia="Times New Roman"/>
        </w:rPr>
      </w:pPr>
      <w:proofErr w:type="gramStart"/>
      <w:r w:rsidRPr="00620A5E">
        <w:rPr>
          <w:rFonts w:eastAsia="Times New Roman"/>
        </w:rPr>
        <w:t>Tho Pham and Oleksandr Talavera.</w:t>
      </w:r>
      <w:proofErr w:type="gramEnd"/>
      <w:r w:rsidRPr="00620A5E">
        <w:rPr>
          <w:rFonts w:eastAsia="Times New Roman"/>
        </w:rPr>
        <w:t xml:space="preserve"> </w:t>
      </w:r>
      <w:proofErr w:type="gramStart"/>
      <w:r w:rsidRPr="00620A5E">
        <w:rPr>
          <w:rFonts w:eastAsia="Times New Roman"/>
        </w:rPr>
        <w:t>World Development, 2018, volume 102, pp. 228-242.</w:t>
      </w:r>
      <w:proofErr w:type="gramEnd"/>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7" w:tgtFrame="_blank" w:history="1">
        <w:r w:rsidRPr="00620A5E">
          <w:rPr>
            <w:rFonts w:eastAsia="Times New Roman"/>
            <w:color w:val="0000FF"/>
            <w:u w:val="single"/>
          </w:rPr>
          <w:t>http://www.sciencedirect.com/science/article/pii/S0305750X17303194</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Summary This paper examines the relationship among gender, social capital, and access to finance of micro, small, and medium enterprises in the manufacturing sector in Viet Nam. Our dataset is from the 2011, 2013, and 2015 results of the Micro, Small, and Medium Enterprise Survey in Viet Nam. Using the Heckman technique to control for sample selection bias, the estimates do not provide evidence for discrimination against female-owned enterprises in the formal lending market. Specifically, female entrepreneurs have a higher probability of getting a loan and they pay lower interest rates in comparison with male entrepreneurs. No discrimination in formal credit markets may arise from the preference for informal loans over formal loans as entrepreneurs tend to borrow informal loans before applying for formal ones. Further analysis shows that social capital could facilitate loan applications: firms that have a closer relationship with government officials and other business people can get loans of longer duration. </w:t>
      </w:r>
      <w:proofErr w:type="gramStart"/>
      <w:r w:rsidRPr="00620A5E">
        <w:rPr>
          <w:rFonts w:eastAsia="Times New Roman"/>
        </w:rPr>
        <w:t>[Tho&amp;Talavera-2018.pdf].</w:t>
      </w:r>
      <w:proofErr w:type="gramEnd"/>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10" w:name="m_-9074501289396108005__Toc508808158"/>
      <w:r w:rsidRPr="00620A5E">
        <w:rPr>
          <w:rFonts w:ascii="Calibri" w:eastAsia="Times New Roman" w:hAnsi="Calibri"/>
          <w:b/>
          <w:bCs/>
          <w:color w:val="800000"/>
          <w:sz w:val="22"/>
          <w:szCs w:val="22"/>
        </w:rPr>
        <w:t>Is there a demand for flood insurance in Vietnam? Results from a choice experiment.</w:t>
      </w:r>
      <w:bookmarkEnd w:id="10"/>
    </w:p>
    <w:p w:rsidR="00620A5E" w:rsidRPr="00620A5E" w:rsidRDefault="00620A5E" w:rsidP="00620A5E">
      <w:pPr>
        <w:spacing w:before="100" w:beforeAutospacing="1"/>
        <w:rPr>
          <w:rFonts w:eastAsia="Times New Roman"/>
        </w:rPr>
      </w:pPr>
      <w:proofErr w:type="gramStart"/>
      <w:r w:rsidRPr="00620A5E">
        <w:rPr>
          <w:rFonts w:eastAsia="Times New Roman"/>
        </w:rPr>
        <w:t>Arnaud Reynaud, Manh-Hung Nguyen and Cécile Aubert.</w:t>
      </w:r>
      <w:proofErr w:type="gramEnd"/>
      <w:r w:rsidRPr="00620A5E">
        <w:rPr>
          <w:rFonts w:eastAsia="Times New Roman"/>
        </w:rPr>
        <w:t xml:space="preserve"> </w:t>
      </w:r>
      <w:proofErr w:type="gramStart"/>
      <w:r w:rsidRPr="00620A5E">
        <w:rPr>
          <w:rFonts w:eastAsia="Times New Roman"/>
        </w:rPr>
        <w:t>Environmental Economics and Policy Studies, 2017.</w:t>
      </w:r>
      <w:proofErr w:type="gramEnd"/>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Vietnam is one of the countries most affected by floods. Despite high exposure to this risk and repeated calls from international organizations, the penetration rate of flood insurance remains surprisingly low in Vietnam. We investigate if there is a demand for flood insurance by Vietnamese households using a choice experiment. We compute households’ willingness to pay (WTP) for various flood insurance programs and we identify the relationships between WTP and the different attributes of insurance schemes (type of risk covered, level of coverage, insurance provider, billing frequency, </w:t>
      </w:r>
      <w:proofErr w:type="gramStart"/>
      <w:r w:rsidRPr="00620A5E">
        <w:rPr>
          <w:rFonts w:eastAsia="Times New Roman"/>
        </w:rPr>
        <w:t>insurance</w:t>
      </w:r>
      <w:proofErr w:type="gramEnd"/>
      <w:r w:rsidRPr="00620A5E">
        <w:rPr>
          <w:rFonts w:eastAsia="Times New Roman"/>
        </w:rPr>
        <w:t xml:space="preserve"> premium). We first show that Vietnamese households exhibit a strong preference for the status quo option (no insurance). We do, however, document significant and positive WTP for some flood insurance policies, especially those covering health expenses. We show that household trust in institutions providing flood insurance policies may help understand the currently low adoption rate. Finally, we stress the high degree of heterogeneity in household preferences for flood insurance policies: past experience with flooding, individual risk preferences and subjective flood risk perception matter to understand WTP for flood insurance. These results call for a very careful design of flood insurance mechanisms in Vietnam, and more generally in developing countries subject to high risks of natural disasters.</w:t>
      </w:r>
    </w:p>
    <w:p w:rsidR="00620A5E" w:rsidRPr="00620A5E" w:rsidRDefault="00620A5E" w:rsidP="00620A5E">
      <w:pPr>
        <w:spacing w:before="100" w:beforeAutospacing="1"/>
        <w:rPr>
          <w:rFonts w:eastAsia="Times New Roman"/>
        </w:rPr>
      </w:pPr>
      <w:r w:rsidRPr="00620A5E">
        <w:rPr>
          <w:rFonts w:eastAsia="Times New Roman"/>
        </w:rPr>
        <w:lastRenderedPageBreak/>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8"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11" w:name="m_-9074501289396108005__Toc508808159"/>
      <w:proofErr w:type="gramStart"/>
      <w:r w:rsidRPr="00620A5E">
        <w:rPr>
          <w:rFonts w:ascii="Calibri" w:eastAsia="Times New Roman" w:hAnsi="Calibri"/>
          <w:b/>
          <w:bCs/>
          <w:color w:val="800000"/>
          <w:sz w:val="22"/>
          <w:szCs w:val="22"/>
        </w:rPr>
        <w:t>Channels of monetary policy transmission in Vietnam.</w:t>
      </w:r>
      <w:bookmarkEnd w:id="11"/>
      <w:proofErr w:type="gramEnd"/>
    </w:p>
    <w:p w:rsidR="00620A5E" w:rsidRPr="00620A5E" w:rsidRDefault="00620A5E" w:rsidP="00620A5E">
      <w:pPr>
        <w:spacing w:before="100" w:beforeAutospacing="1"/>
        <w:rPr>
          <w:rFonts w:eastAsia="Times New Roman"/>
        </w:rPr>
      </w:pPr>
      <w:r w:rsidRPr="00620A5E">
        <w:rPr>
          <w:rFonts w:eastAsia="Times New Roman"/>
        </w:rPr>
        <w:t xml:space="preserve">Sajid Anwar and </w:t>
      </w:r>
      <w:proofErr w:type="gramStart"/>
      <w:r w:rsidRPr="00620A5E">
        <w:rPr>
          <w:rFonts w:eastAsia="Times New Roman"/>
        </w:rPr>
        <w:t>Lan</w:t>
      </w:r>
      <w:proofErr w:type="gramEnd"/>
      <w:r w:rsidRPr="00620A5E">
        <w:rPr>
          <w:rFonts w:eastAsia="Times New Roman"/>
        </w:rPr>
        <w:t xml:space="preserve"> Phi Nguyen. </w:t>
      </w:r>
      <w:proofErr w:type="gramStart"/>
      <w:r w:rsidRPr="00620A5E">
        <w:rPr>
          <w:rFonts w:eastAsia="Times New Roman"/>
        </w:rPr>
        <w:t>Journal of Policy Modeling, 2018.</w:t>
      </w:r>
      <w:proofErr w:type="gramEnd"/>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Since the economic reforms launched in 1986, the Vietnamese economy has registered impressive economic growth. While foreign investment is providing much needed capital, through the conduct of monetary policy, the State Bank of Vietnam (SBV), which is an integral part of the government of Vietnam, is also playing an important role in nurturing the economic growth. The aim of this paper is to evaluate the success of the SBV policies. Monetary policy actions affect all sectors of real economies with a significant lag. Without a good understanding of the transmission mechanism, monetary policy actions may not achieve the desired outcomes. Using quarterly data from 1995 to 2010, this paper focuses on monetary policy transmission mechanisms in Vietnam. Specifically, we consider the dynamic response of the Vietnamese economy to interest rate, exchange rate and foreign shocks. The estimated results based on structural vector autoregressive (SVAR) methodology suggest that monetary shocks tend to have a strong influence on Vietnam’s output. We find that Vietnam’s monetary policy is relatively more susceptible to foreign shocks.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after="100" w:afterAutospacing="1"/>
        <w:outlineLvl w:val="0"/>
        <w:rPr>
          <w:rFonts w:eastAsia="Times New Roman"/>
          <w:b/>
          <w:bCs/>
          <w:kern w:val="36"/>
          <w:sz w:val="48"/>
          <w:szCs w:val="48"/>
        </w:rPr>
      </w:pPr>
      <w:bookmarkStart w:id="12" w:name="m_-9074501289396108005__Toc508808160"/>
      <w:r w:rsidRPr="00620A5E">
        <w:rPr>
          <w:rFonts w:eastAsia="Times New Roman"/>
          <w:b/>
          <w:bCs/>
          <w:kern w:val="36"/>
          <w:sz w:val="48"/>
          <w:szCs w:val="48"/>
          <w:shd w:val="clear" w:color="auto" w:fill="D3D3D3"/>
        </w:rPr>
        <w:t>Economic development</w:t>
      </w:r>
      <w:bookmarkEnd w:id="12"/>
      <w:r w:rsidRPr="00620A5E">
        <w:rPr>
          <w:rFonts w:eastAsia="Times New Roman"/>
          <w:b/>
          <w:bCs/>
          <w:kern w:val="36"/>
          <w:sz w:val="48"/>
          <w:szCs w:val="48"/>
          <w:shd w:val="clear" w:color="auto" w:fill="D3D3D3"/>
        </w:rPr>
        <w:t xml:space="preserve"> </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13" w:name="m_-9074501289396108005__Toc508808161"/>
      <w:r w:rsidRPr="00620A5E">
        <w:rPr>
          <w:rFonts w:ascii="Calibri" w:eastAsia="Times New Roman" w:hAnsi="Calibri"/>
          <w:b/>
          <w:bCs/>
          <w:color w:val="800000"/>
          <w:sz w:val="22"/>
          <w:szCs w:val="22"/>
        </w:rPr>
        <w:t>Assessment of Rice Export Interdependency between China and Vietnam Based on Empirical Approaches.</w:t>
      </w:r>
      <w:bookmarkEnd w:id="13"/>
    </w:p>
    <w:p w:rsidR="00620A5E" w:rsidRPr="00620A5E" w:rsidRDefault="00620A5E" w:rsidP="00620A5E">
      <w:pPr>
        <w:spacing w:before="100" w:beforeAutospacing="1"/>
        <w:rPr>
          <w:rFonts w:eastAsia="Times New Roman"/>
        </w:rPr>
      </w:pPr>
      <w:proofErr w:type="gramStart"/>
      <w:r w:rsidRPr="00620A5E">
        <w:rPr>
          <w:rFonts w:eastAsia="Times New Roman"/>
        </w:rPr>
        <w:t>Trinh Thi Viet Ha, Pham Duy Liem and Li Shuang.</w:t>
      </w:r>
      <w:proofErr w:type="gramEnd"/>
      <w:r w:rsidRPr="00620A5E">
        <w:rPr>
          <w:rFonts w:eastAsia="Times New Roman"/>
        </w:rPr>
        <w:t xml:space="preserve"> Sarhad Journal of Agriculture, 2017, volume 33, number 4.</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In world rice market, China and Vietnam play a vital role, as the largest producer</w:t>
      </w:r>
      <w:proofErr w:type="gramStart"/>
      <w:r w:rsidRPr="00620A5E">
        <w:rPr>
          <w:rFonts w:eastAsia="Times New Roman"/>
        </w:rPr>
        <w:t>,consumer</w:t>
      </w:r>
      <w:proofErr w:type="gramEnd"/>
      <w:r w:rsidRPr="00620A5E">
        <w:rPr>
          <w:rFonts w:eastAsia="Times New Roman"/>
        </w:rPr>
        <w:t xml:space="preserve"> and exporter. The current study was conducted to analyze the rice export interdependency between these two countries using empirical approaches. The findings of the study show that the pattern of rice trade between China and Vietnam is fluctuated. The trade volume between China and Vietnam is smaller, and the fluctuation of trade is larger, and there is a large space for the development of rice trade between the two countries. Through further comparison of the comparative advantages of Chinese and Vietnamese rice products showed that </w:t>
      </w:r>
      <w:r w:rsidRPr="00620A5E">
        <w:rPr>
          <w:rFonts w:eastAsia="Times New Roman"/>
        </w:rPr>
        <w:lastRenderedPageBreak/>
        <w:t xml:space="preserve">the comparative advantage of China’s rice exports is greater in Vietnamese rice markets. Revealed comparative advantage (RCA) index and Relative Trade Advantage Index (RTA) were used to understand the relative competitive advantages of China and Vietnam rice export. The results showed that Vietnamese rice comparative advantage grew steadily in the Chinese market. Overall Sino-Vietnam rice export competition is not </w:t>
      </w:r>
      <w:proofErr w:type="gramStart"/>
      <w:r w:rsidRPr="00620A5E">
        <w:rPr>
          <w:rFonts w:eastAsia="Times New Roman"/>
        </w:rPr>
        <w:t>strong,</w:t>
      </w:r>
      <w:proofErr w:type="gramEnd"/>
      <w:r w:rsidRPr="00620A5E">
        <w:rPr>
          <w:rFonts w:eastAsia="Times New Roman"/>
        </w:rPr>
        <w:t xml:space="preserve"> it is helpful to reduce trade friction between the two sides. Moreover, there is conducive to the development of bilateral trade cooperation of long-term stability, from another point of view, agricultural products can also strengthen the cooperation. Moreover, complementarity is increasing, through the calculation, Sino-Vietnam trade complementarity index showed an upward trend, which indicates Sino-Vietnam have </w:t>
      </w:r>
      <w:proofErr w:type="gramStart"/>
      <w:r w:rsidRPr="00620A5E">
        <w:rPr>
          <w:rFonts w:eastAsia="Times New Roman"/>
        </w:rPr>
        <w:t>a potential</w:t>
      </w:r>
      <w:proofErr w:type="gramEnd"/>
      <w:r w:rsidRPr="00620A5E">
        <w:rPr>
          <w:rFonts w:eastAsia="Times New Roman"/>
        </w:rPr>
        <w:t xml:space="preserve"> trade cooperation.</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9"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14" w:name="m_-9074501289396108005__Toc508808162"/>
      <w:r w:rsidRPr="00620A5E">
        <w:rPr>
          <w:rFonts w:ascii="Calibri" w:eastAsia="Times New Roman" w:hAnsi="Calibri"/>
          <w:b/>
          <w:bCs/>
          <w:color w:val="800000"/>
          <w:sz w:val="22"/>
          <w:szCs w:val="22"/>
        </w:rPr>
        <w:t>Oil price fluctuations and the small open economies of Southeast Asia: An analysis using vector autoregression with block exogeneity.</w:t>
      </w:r>
      <w:bookmarkEnd w:id="14"/>
    </w:p>
    <w:p w:rsidR="00620A5E" w:rsidRPr="00620A5E" w:rsidRDefault="00620A5E" w:rsidP="00620A5E">
      <w:pPr>
        <w:spacing w:before="100" w:beforeAutospacing="1"/>
        <w:rPr>
          <w:rFonts w:eastAsia="Times New Roman"/>
        </w:rPr>
      </w:pPr>
      <w:proofErr w:type="gramStart"/>
      <w:r w:rsidRPr="00620A5E">
        <w:rPr>
          <w:rFonts w:eastAsia="Times New Roman"/>
        </w:rPr>
        <w:t>Tuan Khai Vu and Hayato Nakata.</w:t>
      </w:r>
      <w:proofErr w:type="gramEnd"/>
      <w:r w:rsidRPr="00620A5E">
        <w:rPr>
          <w:rFonts w:eastAsia="Times New Roman"/>
        </w:rPr>
        <w:t xml:space="preserve"> </w:t>
      </w:r>
      <w:proofErr w:type="gramStart"/>
      <w:r w:rsidRPr="00620A5E">
        <w:rPr>
          <w:rFonts w:eastAsia="Times New Roman"/>
        </w:rPr>
        <w:t>Journal of Asian Economics, 2018, volume 54, pp. 1-21.</w:t>
      </w:r>
      <w:proofErr w:type="gramEnd"/>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10" w:tgtFrame="_blank" w:history="1">
        <w:r w:rsidRPr="00620A5E">
          <w:rPr>
            <w:rFonts w:eastAsia="Times New Roman"/>
            <w:color w:val="0000FF"/>
            <w:u w:val="single"/>
          </w:rPr>
          <w:t>http://www.sciencedirect.com/science/article/pii/S104900781630224X</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We use a vector autoregressive model with block exogeneity to study the macroeconomic effects of oil price fluctuations for six small open economies in Southeast Asia. Our method has an advantage over those used in the literature in that it allows us to focus on the effects of oil shocks while avoiding unnecessary, and often ad hoc and unrealistic, assumptions on the structure of a small open economy. Our main findings are as follows. First, with respect to output and price variation, the oil importing countries the Philippines, Singapore, and Thailand are more sensitive to the situation in the world oil market than the oil exporting countries Indonesia, Malaysia, and Vietnam. Second, the monetary authorities of these countries have responded to oil price changes caused by oil-market specific demand shocks. Third, in explaining the inflation surge of 2007–2008, the oil price channel was important in Indonesia and the Philippines, but not in the other four countries under investigation. </w:t>
      </w:r>
      <w:proofErr w:type="gramStart"/>
      <w:r w:rsidRPr="00620A5E">
        <w:rPr>
          <w:rFonts w:eastAsia="Times New Roman"/>
        </w:rPr>
        <w:t>[Khai&amp;Nakata-2018.pdf].</w:t>
      </w:r>
      <w:proofErr w:type="gramEnd"/>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15" w:name="m_-9074501289396108005__Toc508808163"/>
      <w:r w:rsidRPr="00620A5E">
        <w:rPr>
          <w:rFonts w:ascii="Calibri" w:eastAsia="Times New Roman" w:hAnsi="Calibri"/>
          <w:b/>
          <w:bCs/>
          <w:color w:val="800000"/>
          <w:sz w:val="22"/>
          <w:szCs w:val="22"/>
        </w:rPr>
        <w:t>Vietnam in 2017: Flying Fast in Turbulence.</w:t>
      </w:r>
      <w:bookmarkEnd w:id="15"/>
    </w:p>
    <w:p w:rsidR="00620A5E" w:rsidRPr="00620A5E" w:rsidRDefault="00620A5E" w:rsidP="00620A5E">
      <w:pPr>
        <w:spacing w:before="100" w:beforeAutospacing="1"/>
        <w:rPr>
          <w:rFonts w:eastAsia="Times New Roman"/>
        </w:rPr>
      </w:pPr>
      <w:r w:rsidRPr="00620A5E">
        <w:rPr>
          <w:rFonts w:eastAsia="Times New Roman"/>
        </w:rPr>
        <w:t>Ian Coxhead. Asian Survey, 2018, volume 58, number 1.</w:t>
      </w:r>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11" w:tgtFrame="_blank" w:history="1">
        <w:r w:rsidRPr="00620A5E">
          <w:rPr>
            <w:rFonts w:eastAsia="Times New Roman"/>
            <w:color w:val="0000FF"/>
            <w:u w:val="single"/>
          </w:rPr>
          <w:t>http://as.ucpress.edu/content/58/1/149.full.pdf+html</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lastRenderedPageBreak/>
        <w:t xml:space="preserve">Abstract: Vietnam in 2017 continued rapid economic growth and consolidated its role in APEC. US withdrawal from the TPP harmed growth prospects, but Vietnam and other trading partners pushed ahead with other agreements. Industrial production continued to boom, and real wages rose substantially. The ruling party consolidated its hold on national politics and stepped up repression of activists. </w:t>
      </w:r>
      <w:proofErr w:type="gramStart"/>
      <w:r w:rsidRPr="00620A5E">
        <w:rPr>
          <w:rFonts w:eastAsia="Times New Roman"/>
        </w:rPr>
        <w:t>[Coxhead-2018.pdf].</w:t>
      </w:r>
      <w:proofErr w:type="gramEnd"/>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16" w:name="m_-9074501289396108005__Toc508808164"/>
      <w:r w:rsidRPr="00620A5E">
        <w:rPr>
          <w:rFonts w:ascii="Calibri" w:eastAsia="Times New Roman" w:hAnsi="Calibri"/>
          <w:b/>
          <w:bCs/>
          <w:color w:val="800000"/>
          <w:sz w:val="22"/>
          <w:szCs w:val="22"/>
        </w:rPr>
        <w:t>Japan's ODA in Globally Integrated CLMV Economies: Aid Effectiveness and Political Economy.</w:t>
      </w:r>
      <w:bookmarkEnd w:id="16"/>
    </w:p>
    <w:p w:rsidR="00620A5E" w:rsidRPr="00620A5E" w:rsidRDefault="00620A5E" w:rsidP="00620A5E">
      <w:pPr>
        <w:spacing w:before="100" w:beforeAutospacing="1"/>
        <w:rPr>
          <w:rFonts w:eastAsia="Times New Roman"/>
        </w:rPr>
      </w:pPr>
      <w:proofErr w:type="gramStart"/>
      <w:r w:rsidRPr="00620A5E">
        <w:rPr>
          <w:rFonts w:eastAsia="Times New Roman"/>
        </w:rPr>
        <w:t>Tran Van Hoa and Kitti Limskul.</w:t>
      </w:r>
      <w:proofErr w:type="gramEnd"/>
      <w:r w:rsidRPr="00620A5E">
        <w:rPr>
          <w:rFonts w:eastAsia="Times New Roman"/>
        </w:rPr>
        <w:t xml:space="preserve"> Korea &amp; the World Economy, 2017, volume 18, number 3.</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b/>
          <w:bCs/>
          <w:color w:val="800000"/>
        </w:rPr>
        <w:t>The Effects of Ethnic Chinese Minority on Vietnam’s Regional Economic Development in the Post-Vietnam War</w:t>
      </w:r>
      <w:r w:rsidRPr="00620A5E">
        <w:rPr>
          <w:rFonts w:eastAsia="Times New Roman"/>
        </w:rPr>
        <w:t xml:space="preserve"> </w:t>
      </w:r>
      <w:r w:rsidRPr="00620A5E">
        <w:rPr>
          <w:rFonts w:eastAsia="Times New Roman"/>
          <w:b/>
          <w:bCs/>
          <w:color w:val="800000"/>
        </w:rPr>
        <w:t>Period.</w:t>
      </w:r>
    </w:p>
    <w:p w:rsidR="00620A5E" w:rsidRPr="00620A5E" w:rsidRDefault="00620A5E" w:rsidP="00620A5E">
      <w:pPr>
        <w:spacing w:before="100" w:beforeAutospacing="1"/>
        <w:rPr>
          <w:rFonts w:eastAsia="Times New Roman"/>
        </w:rPr>
      </w:pPr>
      <w:proofErr w:type="gramStart"/>
      <w:r w:rsidRPr="00620A5E">
        <w:rPr>
          <w:rFonts w:eastAsia="Times New Roman"/>
        </w:rPr>
        <w:t>Masami Imai and Tuan Anh Viet Nguyen.</w:t>
      </w:r>
      <w:proofErr w:type="gramEnd"/>
      <w:r w:rsidRPr="00620A5E">
        <w:rPr>
          <w:rFonts w:eastAsia="Times New Roman"/>
        </w:rPr>
        <w:t xml:space="preserve"> </w:t>
      </w:r>
      <w:proofErr w:type="gramStart"/>
      <w:r w:rsidRPr="00620A5E">
        <w:rPr>
          <w:rFonts w:eastAsia="Times New Roman"/>
        </w:rPr>
        <w:t>Tokyo Center for Economic Research (TCER) Working Paper Series, 2017.</w:t>
      </w:r>
      <w:proofErr w:type="gramEnd"/>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12" w:tgtFrame="_blank" w:history="1">
        <w:r w:rsidRPr="00620A5E">
          <w:rPr>
            <w:rFonts w:eastAsia="Times New Roman"/>
            <w:color w:val="0000FF"/>
            <w:u w:val="single"/>
          </w:rPr>
          <w:t>http://tcer.or.jp/wp/pdf/e111.pdf</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This paper examines the impact of the Hoa, an ethnically Chinese, economically dominant minority, on regional economic development in Vietnam. To address the endogeneity of the geographical distribution of the Hoa, we use an important historical episode: the rapid deterioration in Sino-Vietnamese diplomatic relationship that led many ethnic Chinese to flee abroad, particularly to the refugee camps in the Guangxi province of China, in 1979. We find that the effects of proximity to the refugee camps on the share of ethnic Chinese in 1989 were more pronounced for provinces that had a larger presence of the ethnic Chinese population in 1979. We also find strong correlations between the 1989 share of ethnic Chinese (instrumented) and contemporary indicators of economic performance. The results suggest that the ethnic Chinese minority had positive economic impacts on Vietnam’s regional economies and that the post-Vietnam War exodus of ethnic Chinese was likely to have had long-term negative economic impacts.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13"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17" w:name="m_-9074501289396108005__Toc508808165"/>
      <w:proofErr w:type="gramStart"/>
      <w:r w:rsidRPr="00620A5E">
        <w:rPr>
          <w:rFonts w:ascii="Calibri" w:eastAsia="Times New Roman" w:hAnsi="Calibri"/>
          <w:b/>
          <w:bCs/>
          <w:color w:val="800000"/>
          <w:sz w:val="22"/>
          <w:szCs w:val="22"/>
        </w:rPr>
        <w:t>Business Formalization in Vietnam.</w:t>
      </w:r>
      <w:bookmarkEnd w:id="17"/>
      <w:proofErr w:type="gramEnd"/>
    </w:p>
    <w:p w:rsidR="00620A5E" w:rsidRPr="00620A5E" w:rsidRDefault="00620A5E" w:rsidP="00620A5E">
      <w:pPr>
        <w:spacing w:before="100" w:beforeAutospacing="1"/>
        <w:rPr>
          <w:rFonts w:eastAsia="Times New Roman"/>
        </w:rPr>
      </w:pPr>
      <w:proofErr w:type="gramStart"/>
      <w:r w:rsidRPr="00620A5E">
        <w:rPr>
          <w:rFonts w:eastAsia="Times New Roman"/>
        </w:rPr>
        <w:t>Brian McCaig and Jordan Nanowski.</w:t>
      </w:r>
      <w:proofErr w:type="gramEnd"/>
      <w:r w:rsidRPr="00620A5E">
        <w:rPr>
          <w:rFonts w:eastAsia="Times New Roman"/>
        </w:rPr>
        <w:t xml:space="preserve"> Laurier Centre for Economic Research &amp; Policy Analysis (LCERPA) Working Paper No. 2018-7, 2018.</w:t>
      </w:r>
    </w:p>
    <w:p w:rsidR="00620A5E" w:rsidRPr="00620A5E" w:rsidRDefault="00620A5E" w:rsidP="00620A5E">
      <w:pPr>
        <w:spacing w:before="100" w:beforeAutospacing="1"/>
        <w:rPr>
          <w:rFonts w:eastAsia="Times New Roman"/>
        </w:rPr>
      </w:pPr>
      <w:r w:rsidRPr="00620A5E">
        <w:rPr>
          <w:rFonts w:eastAsia="Times New Roman"/>
        </w:rPr>
        <w:lastRenderedPageBreak/>
        <w:t xml:space="preserve">Free full text </w:t>
      </w:r>
      <w:hyperlink r:id="rId14" w:tgtFrame="_blank" w:history="1">
        <w:r w:rsidRPr="00620A5E">
          <w:rPr>
            <w:rFonts w:eastAsia="Times New Roman"/>
            <w:color w:val="0000FF"/>
            <w:u w:val="single"/>
          </w:rPr>
          <w:t>http://www.lcerpa.org/public/papers/LCERPA_2018_7.pdf</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We estimate the impact of business formalisation using nationally representative panel data on businesses in Vietnam. Our data allows us to observe businesses for two surveys prior to obtaining a license and hence to control for differential trends before formalisation. We find that obtaining a license is not associated with an increase in profits or other business outcomes such as revenue, expenses, and employment once we control for differential trends. Controlling for trends is crucial, as estimates that ignore trends consistently find a larger positive association between becoming licensed and business performance. Our results suggest that inducing more businesses to register is unlikely to bring about large-scale changes for these businesses.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18" w:name="m_-9074501289396108005__Toc508808166"/>
      <w:r w:rsidRPr="00620A5E">
        <w:rPr>
          <w:rFonts w:ascii="Calibri" w:eastAsia="Times New Roman" w:hAnsi="Calibri"/>
          <w:b/>
          <w:bCs/>
          <w:color w:val="800000"/>
          <w:sz w:val="22"/>
          <w:szCs w:val="22"/>
        </w:rPr>
        <w:t>Corporate Social Responsibility Disclosure in Vietnam: A Longitudinal Study.</w:t>
      </w:r>
      <w:bookmarkEnd w:id="18"/>
    </w:p>
    <w:p w:rsidR="00620A5E" w:rsidRPr="00620A5E" w:rsidRDefault="00620A5E" w:rsidP="00620A5E">
      <w:pPr>
        <w:spacing w:before="100" w:beforeAutospacing="1"/>
        <w:rPr>
          <w:rFonts w:eastAsia="Times New Roman"/>
        </w:rPr>
      </w:pPr>
      <w:proofErr w:type="gramStart"/>
      <w:r w:rsidRPr="00620A5E">
        <w:rPr>
          <w:rFonts w:eastAsia="Times New Roman"/>
        </w:rPr>
        <w:t>Kelly Anh Vu and Thanita Buranatrakul.</w:t>
      </w:r>
      <w:proofErr w:type="gramEnd"/>
      <w:r w:rsidRPr="00620A5E">
        <w:rPr>
          <w:rFonts w:eastAsia="Times New Roman"/>
        </w:rPr>
        <w:t xml:space="preserve"> DLSU Business &amp; Economics Review, 2018, volume 27, number 2.</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This paper aims to investigate the level of corporate social disclosure practices in emerging market. The purpose of this paper is also to identify the important factors that drive corporate social responsibility' disclosure practices in Vietnam. Based on a sample of firms listed on Vietnamese Stock Exchange from 2009 to 2013, a sample of 600 observations was analyzed using CSR disclosure index of which is classified into four dimensions (human resource, community involvement, environment, and products/services). Significant relationships are found between board independence, CEO duality, size, and profit with the level of CSR disclosure of firms in Vietnam. The proportion of state ownership and foreign ownership in Vietnam still influences the prospects of greater information disclosure on human resource dimensions. This study is among the first to examine corporate social responsibility reporting in a growing emerging market such as Vietnam.</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19" w:name="m_-9074501289396108005__Toc508808167"/>
      <w:r w:rsidRPr="00620A5E">
        <w:rPr>
          <w:rFonts w:ascii="Calibri" w:eastAsia="Times New Roman" w:hAnsi="Calibri"/>
          <w:b/>
          <w:bCs/>
          <w:color w:val="800000"/>
          <w:sz w:val="22"/>
          <w:szCs w:val="22"/>
        </w:rPr>
        <w:t xml:space="preserve">Does Taxation Stifle Corporate Investment? </w:t>
      </w:r>
      <w:proofErr w:type="gramStart"/>
      <w:r w:rsidRPr="00620A5E">
        <w:rPr>
          <w:rFonts w:ascii="Calibri" w:eastAsia="Times New Roman" w:hAnsi="Calibri"/>
          <w:b/>
          <w:bCs/>
          <w:color w:val="800000"/>
          <w:sz w:val="22"/>
          <w:szCs w:val="22"/>
        </w:rPr>
        <w:t>Firm-Level Evidence from ASEAN Countries.</w:t>
      </w:r>
      <w:bookmarkEnd w:id="19"/>
      <w:proofErr w:type="gramEnd"/>
    </w:p>
    <w:p w:rsidR="00620A5E" w:rsidRPr="00620A5E" w:rsidRDefault="00620A5E" w:rsidP="00620A5E">
      <w:pPr>
        <w:spacing w:before="100" w:beforeAutospacing="1"/>
        <w:rPr>
          <w:rFonts w:eastAsia="Times New Roman"/>
        </w:rPr>
      </w:pPr>
      <w:proofErr w:type="gramStart"/>
      <w:r w:rsidRPr="00620A5E">
        <w:rPr>
          <w:rFonts w:eastAsia="Times New Roman"/>
        </w:rPr>
        <w:t>Serhan Cevik and Fedor Miryugin.</w:t>
      </w:r>
      <w:proofErr w:type="gramEnd"/>
      <w:r w:rsidRPr="00620A5E">
        <w:rPr>
          <w:rFonts w:eastAsia="Times New Roman"/>
        </w:rPr>
        <w:t xml:space="preserve"> </w:t>
      </w:r>
      <w:proofErr w:type="gramStart"/>
      <w:r w:rsidRPr="00620A5E">
        <w:rPr>
          <w:rFonts w:eastAsia="Times New Roman"/>
        </w:rPr>
        <w:t>IMF working paper No. 18/34, 2018.</w:t>
      </w:r>
      <w:proofErr w:type="gramEnd"/>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15" w:tgtFrame="_blank" w:history="1">
        <w:r w:rsidRPr="00620A5E">
          <w:rPr>
            <w:rFonts w:eastAsia="Times New Roman"/>
            <w:color w:val="0000FF"/>
            <w:u w:val="single"/>
          </w:rPr>
          <w:t>http://www.imf.org/en/Publications/WP/Issues/2018/03/02/Does-Taxation-Stifle-Corporate-Investment-Firm-Level-Evidence-from-ASEAN-Countries-45666</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This paper conducts a firm-level analysis of the effect of taxation on corporate investment patterns in member states of the Association of Southeast Asian Nations (ASEAN). Using large-scale panel data on nonfinancial firms over the period 1990–2014, and controlling </w:t>
      </w:r>
      <w:r w:rsidRPr="00620A5E">
        <w:rPr>
          <w:rFonts w:eastAsia="Times New Roman"/>
        </w:rPr>
        <w:lastRenderedPageBreak/>
        <w:t>for macro-structural differences among countries, we find a significant degree of persistence in firms’ net fixed investments over time, which vary with firm characteristics, such as size, sales, profitability, leverage, and age. Our analysis brings up interesting empirical results, including nonlinear patterns of behavior in firms’ capital investment decisions acrosss ASEAN countries. Concerning the main variable of interest, we find that a moderate level of taxation does not hinder business investment, but this effect turns negative as higher tax burden raises the user cost of capital and distorts resource allocations.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16"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20" w:name="m_-9074501289396108005__Toc508808168"/>
      <w:proofErr w:type="gramStart"/>
      <w:r w:rsidRPr="00620A5E">
        <w:rPr>
          <w:rFonts w:ascii="Calibri" w:eastAsia="Times New Roman" w:hAnsi="Calibri"/>
          <w:b/>
          <w:bCs/>
          <w:color w:val="800000"/>
          <w:sz w:val="22"/>
          <w:szCs w:val="22"/>
        </w:rPr>
        <w:t>The involvement in global value chains and its policy implication in Vietnam.</w:t>
      </w:r>
      <w:bookmarkEnd w:id="20"/>
      <w:proofErr w:type="gramEnd"/>
    </w:p>
    <w:p w:rsidR="00620A5E" w:rsidRPr="00620A5E" w:rsidRDefault="00620A5E" w:rsidP="00620A5E">
      <w:pPr>
        <w:spacing w:before="100" w:beforeAutospacing="1"/>
        <w:rPr>
          <w:rFonts w:eastAsia="Times New Roman"/>
        </w:rPr>
      </w:pPr>
      <w:r w:rsidRPr="00620A5E">
        <w:rPr>
          <w:rFonts w:eastAsia="Times New Roman"/>
        </w:rPr>
        <w:t>Hiroyuki Taguchi. MPRA Paper No. 84367, 2018.</w:t>
      </w:r>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17" w:tgtFrame="_blank" w:history="1">
        <w:r w:rsidRPr="00620A5E">
          <w:rPr>
            <w:rFonts w:eastAsia="Times New Roman"/>
            <w:color w:val="0000FF"/>
            <w:u w:val="single"/>
          </w:rPr>
          <w:t>https://mpra.ub.uni-muenchen.de/84367/1/MPRA_paper_84367.pdf</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This article examines the involvement pattern in global value chains (GVCs) with its policy implication in Vietnam, in comparison with those of the other Asian countries, by using the OECD value-added-trade data. The study first identified the “smile curve” as the average pattern of the Asian GVCs development paths in total manufactures, in which the domestic value share to exports declines at the early development stage and regains itself at the later stage with the turning point being at 2,015 US dollars as per capita GDP. The study then found that the Vietnamese economy stood at the critical position in its GVCs development path, such that the Vietnamese current per capita GDP is very close to 2,015 US dollars, the Asian average turning point in total manufactures. The sectoral analysis in Vietnam also implied that sophisticated manufacturing sectors needs to be transformed from only assembling activities toward developing domestic capacities to produce parts and components. The Government policies in Vietnam thus matter to nurture local productive </w:t>
      </w:r>
      <w:proofErr w:type="gramStart"/>
      <w:r w:rsidRPr="00620A5E">
        <w:rPr>
          <w:rFonts w:eastAsia="Times New Roman"/>
        </w:rPr>
        <w:t>capacities,</w:t>
      </w:r>
      <w:proofErr w:type="gramEnd"/>
      <w:r w:rsidRPr="00620A5E">
        <w:rPr>
          <w:rFonts w:eastAsia="Times New Roman"/>
        </w:rPr>
        <w:t xml:space="preserve"> and the “enterprise clustering” and “linkages development” should be the key strategies to facilitate technological transfers from international firms to local ones in line with the GVCs involvement.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21" w:name="m_-9074501289396108005__Toc508808169"/>
      <w:proofErr w:type="gramStart"/>
      <w:r w:rsidRPr="00620A5E">
        <w:rPr>
          <w:rFonts w:ascii="Calibri" w:eastAsia="Times New Roman" w:hAnsi="Calibri"/>
          <w:b/>
          <w:bCs/>
          <w:color w:val="800000"/>
          <w:sz w:val="22"/>
          <w:szCs w:val="22"/>
        </w:rPr>
        <w:t>Regime-Switching Business Cycle Synchronization in the ASEAN.</w:t>
      </w:r>
      <w:bookmarkEnd w:id="21"/>
      <w:proofErr w:type="gramEnd"/>
    </w:p>
    <w:p w:rsidR="00620A5E" w:rsidRPr="00620A5E" w:rsidRDefault="00620A5E" w:rsidP="00620A5E">
      <w:pPr>
        <w:spacing w:before="100" w:beforeAutospacing="1"/>
        <w:rPr>
          <w:rFonts w:eastAsia="Times New Roman"/>
        </w:rPr>
      </w:pPr>
      <w:proofErr w:type="gramStart"/>
      <w:r w:rsidRPr="00620A5E">
        <w:rPr>
          <w:rFonts w:eastAsia="Times New Roman"/>
        </w:rPr>
        <w:t>Yuthana Sethapramote and Athakrit Thepmongkol.</w:t>
      </w:r>
      <w:proofErr w:type="gramEnd"/>
      <w:r w:rsidRPr="00620A5E">
        <w:rPr>
          <w:rFonts w:eastAsia="Times New Roman"/>
        </w:rPr>
        <w:t xml:space="preserve"> DLSU Business &amp; Economics Review, 2018, volume 27, number 2.</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This paper investigates patterns of business cycle synchronization and analyzes the underlying common factors in six ASEAN countries, that is, Indonesia, Malaysia, the </w:t>
      </w:r>
      <w:r w:rsidRPr="00620A5E">
        <w:rPr>
          <w:rFonts w:eastAsia="Times New Roman"/>
        </w:rPr>
        <w:lastRenderedPageBreak/>
        <w:t xml:space="preserve">Philippines, Singapore, Thailand, and Vietnam. Two important findings result. First, according to resulting regime probabilities calculated from the Markov-switching model. Singapore is not synchronized with other ASEAN members, while Indonesia. </w:t>
      </w:r>
      <w:proofErr w:type="gramStart"/>
      <w:r w:rsidRPr="00620A5E">
        <w:rPr>
          <w:rFonts w:eastAsia="Times New Roman"/>
        </w:rPr>
        <w:t>Malaysia,</w:t>
      </w:r>
      <w:proofErr w:type="gramEnd"/>
      <w:r w:rsidRPr="00620A5E">
        <w:rPr>
          <w:rFonts w:eastAsia="Times New Roman"/>
        </w:rPr>
        <w:t xml:space="preserve"> and the Philippines are highly correlated. Second, according to the principal component analysis, we find that the world's import value growth, the output growth of China, and the capital flow of Singapore are most likely to account for 88% of variation in probabilities of the ASEAN being in the contraction regime.</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18"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22" w:name="m_-9074501289396108005__Toc508808170"/>
      <w:r w:rsidRPr="00620A5E">
        <w:rPr>
          <w:rFonts w:ascii="Calibri" w:eastAsia="Times New Roman" w:hAnsi="Calibri"/>
          <w:b/>
          <w:bCs/>
          <w:color w:val="800000"/>
          <w:sz w:val="22"/>
          <w:szCs w:val="22"/>
        </w:rPr>
        <w:t>Outward Foreign Direct Investment: The Case of Vietnam.</w:t>
      </w:r>
      <w:bookmarkEnd w:id="22"/>
    </w:p>
    <w:p w:rsidR="00620A5E" w:rsidRPr="00620A5E" w:rsidRDefault="00620A5E" w:rsidP="00620A5E">
      <w:pPr>
        <w:spacing w:before="100" w:beforeAutospacing="1"/>
        <w:rPr>
          <w:rFonts w:eastAsia="Times New Roman"/>
        </w:rPr>
      </w:pPr>
      <w:proofErr w:type="gramStart"/>
      <w:r w:rsidRPr="00620A5E">
        <w:rPr>
          <w:rFonts w:eastAsia="Times New Roman"/>
        </w:rPr>
        <w:t>Hoang Thi Thu.</w:t>
      </w:r>
      <w:proofErr w:type="gramEnd"/>
      <w:r w:rsidRPr="00620A5E">
        <w:rPr>
          <w:rFonts w:eastAsia="Times New Roman"/>
        </w:rPr>
        <w:t xml:space="preserve"> </w:t>
      </w:r>
      <w:proofErr w:type="gramStart"/>
      <w:r w:rsidRPr="00620A5E">
        <w:rPr>
          <w:rFonts w:eastAsia="Times New Roman"/>
        </w:rPr>
        <w:t>in</w:t>
      </w:r>
      <w:proofErr w:type="gramEnd"/>
      <w:r w:rsidRPr="00620A5E">
        <w:rPr>
          <w:rFonts w:eastAsia="Times New Roman"/>
        </w:rPr>
        <w:t>: Outward Foreign Direct Investment in ASEAN, ISEAS–Yusof Ishak Institute, 2017, pp. 180-201.</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INTRODUCTION: Since the launch of market-oriented economic reforms in 1986, Vietnam has become one of the fastest growing countries in Southeast Asia. During this period, the Vietnamese government has quickly joined the competition for inward foreign direct investment by restructuring the domestic economy and by opening its economy to the external trade and investment.Foreign direct investment (FDI) is one of the most significant features of Vietnam's movement from a planned economy to a market economy. Since Vietnam's government regulations on foreign investment abroad were signed in 1999, the number of outward FDI (OFDI) projects as well as registered capital has increased steadily. In 2013, the registered capital of Vietnam's outward FDI was more than 157 times of that in 2003 and 789 times of that in 1999. The average registered capital of Vietnam's FDI outflow annually amounted to US$887.5 million. The average value of a project is about US$23.9 million. Although Vietnam's outward direct investment is still small relative to its huge inward FDI, it increased dramatically in Vietnam over time. So how has Vietnam's OFDI performed since economic reforms were carried out in 1986? What are the prospects for the country's OFDI? What policies has the country implemented to increase its direct investment overseas in the long run? This study intends to address these specific questions.The structure of this chapter is organized as follows. Section 2 presents an overview of the Vietnamese economy's performance. Section 3 briefly shows the development of outward FDI policies in Vietnam. The next section presents the current state of OFDI in Vietnam. Section 5 explains the prospects of Vietnam's FDI outflows. The final section deals with conclusions and policy implications.THE PERFORMANCE OF VIETNAM's ECONOMYAfter Vietnam gained independence in </w:t>
      </w:r>
      <w:proofErr w:type="gramStart"/>
      <w:r w:rsidRPr="00620A5E">
        <w:rPr>
          <w:rFonts w:eastAsia="Times New Roman"/>
        </w:rPr>
        <w:t>1975,</w:t>
      </w:r>
      <w:proofErr w:type="gramEnd"/>
      <w:r w:rsidRPr="00620A5E">
        <w:rPr>
          <w:rFonts w:eastAsia="Times New Roman"/>
        </w:rPr>
        <w:t xml:space="preserve"> the country adopted a centrally planned economic regime. This economic model under this regime was based on the classic Soviet-type command economy with strong governmental control over all economic decisions. At this time, all of economic decisions were taken by the State, not by the market. The State not only assumed management functions such as issuing policies, laws, regulations, monitoring and inspecting foreign trade activities, it also fulfilled the </w:t>
      </w:r>
      <w:r w:rsidRPr="00620A5E">
        <w:rPr>
          <w:rFonts w:eastAsia="Times New Roman"/>
        </w:rPr>
        <w:lastRenderedPageBreak/>
        <w:t>functions of guiding business decisions such as fixing the list of trade products, trade markets, and export-import prices.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23" w:name="m_-9074501289396108005__Toc508808171"/>
      <w:r w:rsidRPr="00620A5E">
        <w:rPr>
          <w:rFonts w:ascii="Calibri" w:eastAsia="Times New Roman" w:hAnsi="Calibri"/>
          <w:b/>
          <w:bCs/>
          <w:color w:val="800000"/>
          <w:sz w:val="22"/>
          <w:szCs w:val="22"/>
        </w:rPr>
        <w:t>Relative costs and FDI: Why did Vietnam forge so far ahead?</w:t>
      </w:r>
      <w:bookmarkEnd w:id="23"/>
    </w:p>
    <w:p w:rsidR="00620A5E" w:rsidRPr="00620A5E" w:rsidRDefault="00620A5E" w:rsidP="00620A5E">
      <w:pPr>
        <w:spacing w:before="100" w:beforeAutospacing="1"/>
        <w:rPr>
          <w:rFonts w:eastAsia="Times New Roman"/>
        </w:rPr>
      </w:pPr>
      <w:proofErr w:type="gramStart"/>
      <w:r w:rsidRPr="00620A5E">
        <w:rPr>
          <w:rFonts w:eastAsia="Times New Roman"/>
        </w:rPr>
        <w:t>Thai-Ha Le and Binh Tran-Nam.</w:t>
      </w:r>
      <w:proofErr w:type="gramEnd"/>
      <w:r w:rsidRPr="00620A5E">
        <w:rPr>
          <w:rFonts w:eastAsia="Times New Roman"/>
        </w:rPr>
        <w:t xml:space="preserve"> </w:t>
      </w:r>
      <w:proofErr w:type="gramStart"/>
      <w:r w:rsidRPr="00620A5E">
        <w:rPr>
          <w:rFonts w:eastAsia="Times New Roman"/>
        </w:rPr>
        <w:t>Economic Analysis and Policy, 2018.</w:t>
      </w:r>
      <w:proofErr w:type="gramEnd"/>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Foreign direct investment (FDI) into Southeast Asia has grown at impressive rates in recent years, with Vietnam exhibiting the fastest growth rate in the region. There are a growing number of studies that have explained FDI inflows into Vietnam both at the macro and the provincial levels. This study builds on this line of research by investigating the role of relative wages and relative productivity of Vietnam </w:t>
      </w:r>
      <w:proofErr w:type="gramStart"/>
      <w:r w:rsidRPr="00620A5E">
        <w:rPr>
          <w:rFonts w:eastAsia="Times New Roman"/>
        </w:rPr>
        <w:t>vis</w:t>
      </w:r>
      <w:proofErr w:type="gramEnd"/>
      <w:r w:rsidRPr="00620A5E">
        <w:rPr>
          <w:rFonts w:eastAsia="Times New Roman"/>
        </w:rPr>
        <w:t xml:space="preserve"> à vis other countries in the region, which hold similar locational advantages like Vietnam. The underlying premise is that a multinational corporation (MNC) has a choice between investing in two similar countries and chooses one country (Vietnam) rather than the other based on relative costs and benefits. Using a panel dataset spanning from 2000 to 2015, the study finds that during the recent years of transition, high level of FDI inflows into Vietnam could be explained mainly by the relatively skilled workforce, combined with low wages as compared to her neighbouring countries in the region.</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19"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24" w:name="m_-9074501289396108005__Toc508808172"/>
      <w:r w:rsidRPr="00620A5E">
        <w:rPr>
          <w:rFonts w:ascii="Calibri" w:eastAsia="Times New Roman" w:hAnsi="Calibri"/>
          <w:b/>
          <w:bCs/>
          <w:color w:val="800000"/>
          <w:sz w:val="22"/>
          <w:szCs w:val="22"/>
        </w:rPr>
        <w:t>The Use of Geographical Indications in Vietnam: A Promising Tool for Socioeconomic Development?</w:t>
      </w:r>
      <w:bookmarkEnd w:id="24"/>
    </w:p>
    <w:p w:rsidR="00620A5E" w:rsidRPr="00620A5E" w:rsidRDefault="00620A5E" w:rsidP="00620A5E">
      <w:pPr>
        <w:spacing w:before="100" w:beforeAutospacing="1"/>
        <w:rPr>
          <w:rFonts w:eastAsia="Times New Roman"/>
        </w:rPr>
      </w:pPr>
      <w:proofErr w:type="gramStart"/>
      <w:r w:rsidRPr="00620A5E">
        <w:rPr>
          <w:rFonts w:eastAsia="Times New Roman"/>
        </w:rPr>
        <w:t>Barbara Pick, Delphine Marie-Vivien and Dong Bui Kim.</w:t>
      </w:r>
      <w:proofErr w:type="gramEnd"/>
      <w:r w:rsidRPr="00620A5E">
        <w:rPr>
          <w:rFonts w:eastAsia="Times New Roman"/>
        </w:rPr>
        <w:t xml:space="preserve"> </w:t>
      </w:r>
      <w:proofErr w:type="gramStart"/>
      <w:r w:rsidRPr="00620A5E">
        <w:rPr>
          <w:rFonts w:eastAsia="Times New Roman"/>
        </w:rPr>
        <w:t>in</w:t>
      </w:r>
      <w:proofErr w:type="gramEnd"/>
      <w:r w:rsidRPr="00620A5E">
        <w:rPr>
          <w:rFonts w:eastAsia="Times New Roman"/>
        </w:rPr>
        <w:t>: Geographical Indications at the Crossroads of Trade, Development, and Culture: Focus on Asia-Pacific, Cambridge University Press, Cambridge, 2017, pp. 305-332.</w:t>
      </w:r>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20" w:tgtFrame="_blank" w:history="1">
        <w:r w:rsidRPr="00620A5E">
          <w:rPr>
            <w:rFonts w:eastAsia="Times New Roman"/>
            <w:color w:val="0000FF"/>
            <w:u w:val="single"/>
          </w:rPr>
          <w:t>https://www.cambridge.org/core/books/geographical-indications-at-the-crossroads-of-trade-development-and-culture/use-of-geographical-indications-in-vietnam-a-promising-tool-for-socioeconomic-development/DF1D84B8C27CC679C5C4832B15472C8B</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This chapter seeks to investigate the way in which the system of protection of geographical indications (GI) has developed in the legal, policy, and socio-economic context of an emerging country such as Vietnam. Vietnam has over fifteen years of experience in GI protection, and GIs are considered an important tool for socio-economic development in the country. Vietnam also recently completed the negotiations of two international free trade agreements, which include specific provisions on GIs: one with the European Union, the European Union-Vietnam Free Trade Agreement,1 and the other one with twelve countries of the </w:t>
      </w:r>
      <w:r w:rsidRPr="00620A5E">
        <w:rPr>
          <w:rFonts w:eastAsia="Times New Roman"/>
        </w:rPr>
        <w:lastRenderedPageBreak/>
        <w:t>Pacific (including the United States), the Trans-Pacific Partnership Agreement (TPP).2 Our analysis in this chapter aims at providing useful insights on the law and practice of GIs in Vietnam, which could also be relevant with respect to other countries in the region, as several countries in South East Asia are currently considering reforms to their existing laws or are implementing new provisions in the areas of GIs.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25" w:name="m_-9074501289396108005__Toc508808173"/>
      <w:r w:rsidRPr="00620A5E">
        <w:rPr>
          <w:rFonts w:ascii="Calibri" w:eastAsia="Times New Roman" w:hAnsi="Calibri"/>
          <w:b/>
          <w:bCs/>
          <w:color w:val="800000"/>
          <w:sz w:val="22"/>
          <w:szCs w:val="22"/>
        </w:rPr>
        <w:t>Vietnam: In Search of a New Growth Model.</w:t>
      </w:r>
      <w:bookmarkEnd w:id="25"/>
    </w:p>
    <w:p w:rsidR="00620A5E" w:rsidRPr="00620A5E" w:rsidRDefault="00620A5E" w:rsidP="00620A5E">
      <w:pPr>
        <w:spacing w:before="100" w:beforeAutospacing="1"/>
        <w:rPr>
          <w:rFonts w:eastAsia="Times New Roman"/>
        </w:rPr>
      </w:pPr>
      <w:r w:rsidRPr="00620A5E">
        <w:rPr>
          <w:rFonts w:eastAsia="Times New Roman"/>
        </w:rPr>
        <w:t xml:space="preserve">Jonathan Pincus. </w:t>
      </w:r>
      <w:proofErr w:type="gramStart"/>
      <w:r w:rsidRPr="00620A5E">
        <w:rPr>
          <w:rFonts w:eastAsia="Times New Roman"/>
        </w:rPr>
        <w:t>in</w:t>
      </w:r>
      <w:proofErr w:type="gramEnd"/>
      <w:r w:rsidRPr="00620A5E">
        <w:rPr>
          <w:rFonts w:eastAsia="Times New Roman"/>
        </w:rPr>
        <w:t>: Southeast Asian Affairs 2016, ISEAS–Yusof Ishak Institute, 2016, pp. 379-397.</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Vietnam suffered two major domestic financial crises on either side of the global economic crisis of 2008. This extended period of turbulence destabilized the economic model that had been in place for most of the doi moi or “renovation” period since the late 1980s. The model had consisted of export-oriented and labour intensive “vent for surplus” sectors welded to a state-dominated economy producing goods and services for the domestic market. The former generated employment and export earnings, while the latter distributed economic rents throughout Vietnam's highly commercialized and fragmented state apparatus.By the early 2000s, rapid credit growth was fuelling speculative investments in equities, property and other risky ventures by domestic businesses and households, both in the state and non-state sectors. This process gradually undermined bank, corporate and household balance sheets. By 2011 the decay could no longer be concealed, and major scandals broke in the state economic groups, notably in the shipbuilder Vinashin and the state shipping company Vinalines. The export sector continued to grow, led by surging exports of mobile phones and other electronic goods as global producers sought to diversify production bases away from China, where wages and other costs were rising quickly. However, domestic investment and consumption stagnated as businesses and households struggled under the weight of a heavy debt burden, frozen asset markets and tight credit conditions. Moderate rates of growth have been sustained but they remain heavily dependent on foreign direct investment and external demand. The challenge facing the government is to devise a new growth model that builds on the country's export success and stimulates investment in domestic supplier and downstream industries, while at the same time opening domestic markets to greater competition.This chapter sets out to do three things. First, it briefly describes the growth model that evolved during the doi moi period and remained intact until the crises of 2008–11 played themselves out. One of the most interesting features of the model is the concentration of domestic commercial activity within the state, and the resulting absence of large-scale private firms in the dynamic export sectors or the import-substituting sectors. Second, we revisit the crises of 2008 and 2010 to emphasize the central importance of these events to the breakdown of the old model.</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21"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lastRenderedPageBreak/>
        <w:t> </w:t>
      </w:r>
    </w:p>
    <w:p w:rsidR="00620A5E" w:rsidRPr="00620A5E" w:rsidRDefault="00620A5E" w:rsidP="00620A5E">
      <w:pPr>
        <w:outlineLvl w:val="1"/>
        <w:rPr>
          <w:rFonts w:eastAsia="Times New Roman"/>
          <w:b/>
          <w:bCs/>
          <w:sz w:val="36"/>
          <w:szCs w:val="36"/>
        </w:rPr>
      </w:pPr>
      <w:bookmarkStart w:id="26" w:name="m_-9074501289396108005__Toc508808174"/>
      <w:proofErr w:type="gramStart"/>
      <w:r w:rsidRPr="00620A5E">
        <w:rPr>
          <w:rFonts w:ascii="Calibri" w:eastAsia="Times New Roman" w:hAnsi="Calibri"/>
          <w:b/>
          <w:bCs/>
          <w:color w:val="800000"/>
          <w:sz w:val="22"/>
          <w:szCs w:val="22"/>
        </w:rPr>
        <w:t>Inflation and Public Debt Dynamics in ASEAN.</w:t>
      </w:r>
      <w:bookmarkEnd w:id="26"/>
      <w:proofErr w:type="gramEnd"/>
    </w:p>
    <w:p w:rsidR="00620A5E" w:rsidRPr="00620A5E" w:rsidRDefault="00620A5E" w:rsidP="00620A5E">
      <w:pPr>
        <w:spacing w:before="100" w:beforeAutospacing="1"/>
        <w:rPr>
          <w:rFonts w:eastAsia="Times New Roman"/>
        </w:rPr>
      </w:pPr>
      <w:proofErr w:type="gramStart"/>
      <w:r w:rsidRPr="00620A5E">
        <w:rPr>
          <w:rFonts w:eastAsia="Times New Roman"/>
        </w:rPr>
        <w:t>Athakrit Thepmongkol and Yuthana Sethapramote.</w:t>
      </w:r>
      <w:proofErr w:type="gramEnd"/>
      <w:r w:rsidRPr="00620A5E">
        <w:rPr>
          <w:rFonts w:eastAsia="Times New Roman"/>
        </w:rPr>
        <w:t xml:space="preserve"> DLSU Business &amp; Economics Review, 2018, volume 27, number 2.</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This paper studies how inflation affects the debt dynamics focusing on six ASEAN countries: Indonesia, Malaysia, the Philippines, Singapore, Thailand, and Vietnam. Using projection data, we perform simulations of debt dynamics under various inflation policies. It results that Vietnam has the highest ability of inflating debt, while the Philippines is lastly ranked. Moreover, the optimal inflation rate for each member country and also the common policy rate for ASEAN integration are calculated under additional debt management motive. We found that if the ASEAN happened to use the common inflation policyrate, Malaysia and the Philippines would not be much affected as their individual optimal rates are close to the common rate, while Indonesia and Singapore would suffer from withstanding the common inflation rate far from their own optimal levels.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27" w:name="m_-9074501289396108005__Toc508808175"/>
      <w:r w:rsidRPr="00620A5E">
        <w:rPr>
          <w:rFonts w:ascii="Calibri" w:eastAsia="Times New Roman" w:hAnsi="Calibri"/>
          <w:b/>
          <w:bCs/>
          <w:color w:val="800000"/>
          <w:sz w:val="22"/>
          <w:szCs w:val="22"/>
        </w:rPr>
        <w:t>Tác đ</w:t>
      </w:r>
      <w:r w:rsidRPr="00620A5E">
        <w:rPr>
          <w:rFonts w:ascii="Arial" w:eastAsia="Times New Roman" w:hAnsi="Arial" w:cs="Arial"/>
          <w:b/>
          <w:bCs/>
          <w:color w:val="800000"/>
          <w:sz w:val="22"/>
          <w:szCs w:val="22"/>
        </w:rPr>
        <w:t>ộ</w:t>
      </w:r>
      <w:r w:rsidRPr="00620A5E">
        <w:rPr>
          <w:rFonts w:ascii="Calibri" w:eastAsia="Times New Roman" w:hAnsi="Calibri"/>
          <w:b/>
          <w:bCs/>
          <w:color w:val="800000"/>
          <w:sz w:val="22"/>
          <w:szCs w:val="22"/>
        </w:rPr>
        <w:t>ng kinh t</w:t>
      </w:r>
      <w:r w:rsidRPr="00620A5E">
        <w:rPr>
          <w:rFonts w:ascii="Arial" w:eastAsia="Times New Roman" w:hAnsi="Arial" w:cs="Arial"/>
          <w:b/>
          <w:bCs/>
          <w:color w:val="800000"/>
          <w:sz w:val="22"/>
          <w:szCs w:val="22"/>
        </w:rPr>
        <w:t>ế</w:t>
      </w:r>
      <w:r w:rsidRPr="00620A5E">
        <w:rPr>
          <w:rFonts w:ascii="Calibri" w:eastAsia="Times New Roman" w:hAnsi="Calibri"/>
          <w:b/>
          <w:bCs/>
          <w:color w:val="800000"/>
          <w:sz w:val="22"/>
          <w:szCs w:val="22"/>
        </w:rPr>
        <w:t xml:space="preserve"> v</w:t>
      </w:r>
      <w:r w:rsidRPr="00620A5E">
        <w:rPr>
          <w:rFonts w:ascii="Calibri" w:eastAsia="Times New Roman" w:hAnsi="Calibri" w:cs="Calibri"/>
          <w:b/>
          <w:bCs/>
          <w:color w:val="800000"/>
          <w:sz w:val="22"/>
          <w:szCs w:val="22"/>
        </w:rPr>
        <w:t>à</w:t>
      </w:r>
      <w:r w:rsidRPr="00620A5E">
        <w:rPr>
          <w:rFonts w:ascii="Calibri" w:eastAsia="Times New Roman" w:hAnsi="Calibri"/>
          <w:b/>
          <w:bCs/>
          <w:color w:val="800000"/>
          <w:sz w:val="22"/>
          <w:szCs w:val="22"/>
        </w:rPr>
        <w:t xml:space="preserve"> ph</w:t>
      </w:r>
      <w:r w:rsidRPr="00620A5E">
        <w:rPr>
          <w:rFonts w:ascii="Calibri" w:eastAsia="Times New Roman" w:hAnsi="Calibri" w:cs="Calibri"/>
          <w:b/>
          <w:bCs/>
          <w:color w:val="800000"/>
          <w:sz w:val="22"/>
          <w:szCs w:val="22"/>
        </w:rPr>
        <w:t>â</w:t>
      </w:r>
      <w:r w:rsidRPr="00620A5E">
        <w:rPr>
          <w:rFonts w:ascii="Calibri" w:eastAsia="Times New Roman" w:hAnsi="Calibri"/>
          <w:b/>
          <w:bCs/>
          <w:color w:val="800000"/>
          <w:sz w:val="22"/>
          <w:szCs w:val="22"/>
        </w:rPr>
        <w:t>n b</w:t>
      </w:r>
      <w:r w:rsidRPr="00620A5E">
        <w:rPr>
          <w:rFonts w:ascii="Arial" w:eastAsia="Times New Roman" w:hAnsi="Arial" w:cs="Arial"/>
          <w:b/>
          <w:bCs/>
          <w:color w:val="800000"/>
          <w:sz w:val="22"/>
          <w:szCs w:val="22"/>
        </w:rPr>
        <w:t>ổ</w:t>
      </w:r>
      <w:r w:rsidRPr="00620A5E">
        <w:rPr>
          <w:rFonts w:ascii="Calibri" w:eastAsia="Times New Roman" w:hAnsi="Calibri"/>
          <w:b/>
          <w:bCs/>
          <w:color w:val="800000"/>
          <w:sz w:val="22"/>
          <w:szCs w:val="22"/>
        </w:rPr>
        <w:t xml:space="preserve"> </w:t>
      </w:r>
      <w:proofErr w:type="gramStart"/>
      <w:r w:rsidRPr="00620A5E">
        <w:rPr>
          <w:rFonts w:ascii="Calibri" w:eastAsia="Times New Roman" w:hAnsi="Calibri"/>
          <w:b/>
          <w:bCs/>
          <w:color w:val="800000"/>
          <w:sz w:val="22"/>
          <w:szCs w:val="22"/>
        </w:rPr>
        <w:t>thu</w:t>
      </w:r>
      <w:proofErr w:type="gramEnd"/>
      <w:r w:rsidRPr="00620A5E">
        <w:rPr>
          <w:rFonts w:ascii="Calibri" w:eastAsia="Times New Roman" w:hAnsi="Calibri"/>
          <w:b/>
          <w:bCs/>
          <w:color w:val="800000"/>
          <w:sz w:val="22"/>
          <w:szCs w:val="22"/>
        </w:rPr>
        <w:t xml:space="preserve"> nh</w:t>
      </w:r>
      <w:r w:rsidRPr="00620A5E">
        <w:rPr>
          <w:rFonts w:ascii="Arial" w:eastAsia="Times New Roman" w:hAnsi="Arial" w:cs="Arial"/>
          <w:b/>
          <w:bCs/>
          <w:color w:val="800000"/>
          <w:sz w:val="22"/>
          <w:szCs w:val="22"/>
        </w:rPr>
        <w:t>ậ</w:t>
      </w:r>
      <w:r w:rsidRPr="00620A5E">
        <w:rPr>
          <w:rFonts w:ascii="Calibri" w:eastAsia="Times New Roman" w:hAnsi="Calibri"/>
          <w:b/>
          <w:bCs/>
          <w:color w:val="800000"/>
          <w:sz w:val="22"/>
          <w:szCs w:val="22"/>
        </w:rPr>
        <w:t>p c</w:t>
      </w:r>
      <w:r w:rsidRPr="00620A5E">
        <w:rPr>
          <w:rFonts w:ascii="Arial" w:eastAsia="Times New Roman" w:hAnsi="Arial" w:cs="Arial"/>
          <w:b/>
          <w:bCs/>
          <w:color w:val="800000"/>
          <w:sz w:val="22"/>
          <w:szCs w:val="22"/>
        </w:rPr>
        <w:t>ủ</w:t>
      </w:r>
      <w:r w:rsidRPr="00620A5E">
        <w:rPr>
          <w:rFonts w:ascii="Calibri" w:eastAsia="Times New Roman" w:hAnsi="Calibri"/>
          <w:b/>
          <w:bCs/>
          <w:color w:val="800000"/>
          <w:sz w:val="22"/>
          <w:szCs w:val="22"/>
        </w:rPr>
        <w:t>a Hi</w:t>
      </w:r>
      <w:r w:rsidRPr="00620A5E">
        <w:rPr>
          <w:rFonts w:ascii="Arial" w:eastAsia="Times New Roman" w:hAnsi="Arial" w:cs="Arial"/>
          <w:b/>
          <w:bCs/>
          <w:color w:val="800000"/>
          <w:sz w:val="22"/>
          <w:szCs w:val="22"/>
        </w:rPr>
        <w:t>ệ</w:t>
      </w:r>
      <w:r w:rsidRPr="00620A5E">
        <w:rPr>
          <w:rFonts w:ascii="Calibri" w:eastAsia="Times New Roman" w:hAnsi="Calibri"/>
          <w:b/>
          <w:bCs/>
          <w:color w:val="800000"/>
          <w:sz w:val="22"/>
          <w:szCs w:val="22"/>
        </w:rPr>
        <w:t xml:space="preserve">p </w:t>
      </w:r>
      <w:r w:rsidRPr="00620A5E">
        <w:rPr>
          <w:rFonts w:ascii="Calibri" w:eastAsia="Times New Roman" w:hAnsi="Calibri" w:cs="Calibri"/>
          <w:b/>
          <w:bCs/>
          <w:color w:val="800000"/>
          <w:sz w:val="22"/>
          <w:szCs w:val="22"/>
        </w:rPr>
        <w:t>đ</w:t>
      </w:r>
      <w:r w:rsidRPr="00620A5E">
        <w:rPr>
          <w:rFonts w:ascii="Arial" w:eastAsia="Times New Roman" w:hAnsi="Arial" w:cs="Arial"/>
          <w:b/>
          <w:bCs/>
          <w:color w:val="800000"/>
          <w:sz w:val="22"/>
          <w:szCs w:val="22"/>
        </w:rPr>
        <w:t>ị</w:t>
      </w:r>
      <w:r w:rsidRPr="00620A5E">
        <w:rPr>
          <w:rFonts w:ascii="Calibri" w:eastAsia="Times New Roman" w:hAnsi="Calibri"/>
          <w:b/>
          <w:bCs/>
          <w:color w:val="800000"/>
          <w:sz w:val="22"/>
          <w:szCs w:val="22"/>
        </w:rPr>
        <w:t xml:space="preserve">nh </w:t>
      </w:r>
      <w:r w:rsidRPr="00620A5E">
        <w:rPr>
          <w:rFonts w:ascii="Calibri" w:eastAsia="Times New Roman" w:hAnsi="Calibri" w:cs="Calibri"/>
          <w:b/>
          <w:bCs/>
          <w:color w:val="800000"/>
          <w:sz w:val="22"/>
          <w:szCs w:val="22"/>
        </w:rPr>
        <w:t>Đ</w:t>
      </w:r>
      <w:r w:rsidRPr="00620A5E">
        <w:rPr>
          <w:rFonts w:ascii="Arial" w:eastAsia="Times New Roman" w:hAnsi="Arial" w:cs="Arial"/>
          <w:b/>
          <w:bCs/>
          <w:color w:val="800000"/>
          <w:sz w:val="22"/>
          <w:szCs w:val="22"/>
        </w:rPr>
        <w:t>ố</w:t>
      </w:r>
      <w:r w:rsidRPr="00620A5E">
        <w:rPr>
          <w:rFonts w:ascii="Calibri" w:eastAsia="Times New Roman" w:hAnsi="Calibri"/>
          <w:b/>
          <w:bCs/>
          <w:color w:val="800000"/>
          <w:sz w:val="22"/>
          <w:szCs w:val="22"/>
        </w:rPr>
        <w:t>i t</w:t>
      </w:r>
      <w:r w:rsidRPr="00620A5E">
        <w:rPr>
          <w:rFonts w:ascii="Calibri" w:eastAsia="Times New Roman" w:hAnsi="Calibri" w:cs="Calibri"/>
          <w:b/>
          <w:bCs/>
          <w:color w:val="800000"/>
          <w:sz w:val="22"/>
          <w:szCs w:val="22"/>
        </w:rPr>
        <w:t>á</w:t>
      </w:r>
      <w:r w:rsidRPr="00620A5E">
        <w:rPr>
          <w:rFonts w:ascii="Calibri" w:eastAsia="Times New Roman" w:hAnsi="Calibri"/>
          <w:b/>
          <w:bCs/>
          <w:color w:val="800000"/>
          <w:sz w:val="22"/>
          <w:szCs w:val="22"/>
        </w:rPr>
        <w:t>c To</w:t>
      </w:r>
      <w:r w:rsidRPr="00620A5E">
        <w:rPr>
          <w:rFonts w:ascii="Calibri" w:eastAsia="Times New Roman" w:hAnsi="Calibri" w:cs="Calibri"/>
          <w:b/>
          <w:bCs/>
          <w:color w:val="800000"/>
          <w:sz w:val="22"/>
          <w:szCs w:val="22"/>
        </w:rPr>
        <w:t>à</w:t>
      </w:r>
      <w:r w:rsidRPr="00620A5E">
        <w:rPr>
          <w:rFonts w:ascii="Calibri" w:eastAsia="Times New Roman" w:hAnsi="Calibri"/>
          <w:b/>
          <w:bCs/>
          <w:color w:val="800000"/>
          <w:sz w:val="22"/>
          <w:szCs w:val="22"/>
        </w:rPr>
        <w:t>n di</w:t>
      </w:r>
      <w:r w:rsidRPr="00620A5E">
        <w:rPr>
          <w:rFonts w:ascii="Arial" w:eastAsia="Times New Roman" w:hAnsi="Arial" w:cs="Arial"/>
          <w:b/>
          <w:bCs/>
          <w:color w:val="800000"/>
          <w:sz w:val="22"/>
          <w:szCs w:val="22"/>
        </w:rPr>
        <w:t>ệ</w:t>
      </w:r>
      <w:r w:rsidRPr="00620A5E">
        <w:rPr>
          <w:rFonts w:ascii="Calibri" w:eastAsia="Times New Roman" w:hAnsi="Calibri"/>
          <w:b/>
          <w:bCs/>
          <w:color w:val="800000"/>
          <w:sz w:val="22"/>
          <w:szCs w:val="22"/>
        </w:rPr>
        <w:t>n v</w:t>
      </w:r>
      <w:r w:rsidRPr="00620A5E">
        <w:rPr>
          <w:rFonts w:ascii="Calibri" w:eastAsia="Times New Roman" w:hAnsi="Calibri" w:cs="Calibri"/>
          <w:b/>
          <w:bCs/>
          <w:color w:val="800000"/>
          <w:sz w:val="22"/>
          <w:szCs w:val="22"/>
        </w:rPr>
        <w:t>à</w:t>
      </w:r>
      <w:r w:rsidRPr="00620A5E">
        <w:rPr>
          <w:rFonts w:ascii="Calibri" w:eastAsia="Times New Roman" w:hAnsi="Calibri"/>
          <w:b/>
          <w:bCs/>
          <w:color w:val="800000"/>
          <w:sz w:val="22"/>
          <w:szCs w:val="22"/>
        </w:rPr>
        <w:t xml:space="preserve"> Ti</w:t>
      </w:r>
      <w:r w:rsidRPr="00620A5E">
        <w:rPr>
          <w:rFonts w:ascii="Arial" w:eastAsia="Times New Roman" w:hAnsi="Arial" w:cs="Arial"/>
          <w:b/>
          <w:bCs/>
          <w:color w:val="800000"/>
          <w:sz w:val="22"/>
          <w:szCs w:val="22"/>
        </w:rPr>
        <w:t>ế</w:t>
      </w:r>
      <w:r w:rsidRPr="00620A5E">
        <w:rPr>
          <w:rFonts w:ascii="Calibri" w:eastAsia="Times New Roman" w:hAnsi="Calibri"/>
          <w:b/>
          <w:bCs/>
          <w:color w:val="800000"/>
          <w:sz w:val="22"/>
          <w:szCs w:val="22"/>
        </w:rPr>
        <w:t>n b</w:t>
      </w:r>
      <w:r w:rsidRPr="00620A5E">
        <w:rPr>
          <w:rFonts w:ascii="Arial" w:eastAsia="Times New Roman" w:hAnsi="Arial" w:cs="Arial"/>
          <w:b/>
          <w:bCs/>
          <w:color w:val="800000"/>
          <w:sz w:val="22"/>
          <w:szCs w:val="22"/>
        </w:rPr>
        <w:t>ộ</w:t>
      </w:r>
      <w:r w:rsidRPr="00620A5E">
        <w:rPr>
          <w:rFonts w:ascii="Calibri" w:eastAsia="Times New Roman" w:hAnsi="Calibri"/>
          <w:b/>
          <w:bCs/>
          <w:color w:val="800000"/>
          <w:sz w:val="22"/>
          <w:szCs w:val="22"/>
        </w:rPr>
        <w:t xml:space="preserve"> Xuy</w:t>
      </w:r>
      <w:r w:rsidRPr="00620A5E">
        <w:rPr>
          <w:rFonts w:ascii="Calibri" w:eastAsia="Times New Roman" w:hAnsi="Calibri" w:cs="Calibri"/>
          <w:b/>
          <w:bCs/>
          <w:color w:val="800000"/>
          <w:sz w:val="22"/>
          <w:szCs w:val="22"/>
        </w:rPr>
        <w:t>ê</w:t>
      </w:r>
      <w:r w:rsidRPr="00620A5E">
        <w:rPr>
          <w:rFonts w:ascii="Calibri" w:eastAsia="Times New Roman" w:hAnsi="Calibri"/>
          <w:b/>
          <w:bCs/>
          <w:color w:val="800000"/>
          <w:sz w:val="22"/>
          <w:szCs w:val="22"/>
        </w:rPr>
        <w:t>n Th</w:t>
      </w:r>
      <w:r w:rsidRPr="00620A5E">
        <w:rPr>
          <w:rFonts w:ascii="Calibri" w:eastAsia="Times New Roman" w:hAnsi="Calibri" w:cs="Calibri"/>
          <w:b/>
          <w:bCs/>
          <w:color w:val="800000"/>
          <w:sz w:val="22"/>
          <w:szCs w:val="22"/>
        </w:rPr>
        <w:t>á</w:t>
      </w:r>
      <w:r w:rsidRPr="00620A5E">
        <w:rPr>
          <w:rFonts w:ascii="Calibri" w:eastAsia="Times New Roman" w:hAnsi="Calibri"/>
          <w:b/>
          <w:bCs/>
          <w:color w:val="800000"/>
          <w:sz w:val="22"/>
          <w:szCs w:val="22"/>
        </w:rPr>
        <w:t>i B</w:t>
      </w:r>
      <w:r w:rsidRPr="00620A5E">
        <w:rPr>
          <w:rFonts w:ascii="Calibri" w:eastAsia="Times New Roman" w:hAnsi="Calibri" w:cs="Calibri"/>
          <w:b/>
          <w:bCs/>
          <w:color w:val="800000"/>
          <w:sz w:val="22"/>
          <w:szCs w:val="22"/>
        </w:rPr>
        <w:t>ì</w:t>
      </w:r>
      <w:r w:rsidRPr="00620A5E">
        <w:rPr>
          <w:rFonts w:ascii="Calibri" w:eastAsia="Times New Roman" w:hAnsi="Calibri"/>
          <w:b/>
          <w:bCs/>
          <w:color w:val="800000"/>
          <w:sz w:val="22"/>
          <w:szCs w:val="22"/>
        </w:rPr>
        <w:t>nh D</w:t>
      </w:r>
      <w:r w:rsidRPr="00620A5E">
        <w:rPr>
          <w:rFonts w:ascii="Arial" w:eastAsia="Times New Roman" w:hAnsi="Arial" w:cs="Arial"/>
          <w:b/>
          <w:bCs/>
          <w:color w:val="800000"/>
          <w:sz w:val="22"/>
          <w:szCs w:val="22"/>
        </w:rPr>
        <w:t>ươ</w:t>
      </w:r>
      <w:r w:rsidRPr="00620A5E">
        <w:rPr>
          <w:rFonts w:ascii="Calibri" w:eastAsia="Times New Roman" w:hAnsi="Calibri"/>
          <w:b/>
          <w:bCs/>
          <w:color w:val="800000"/>
          <w:sz w:val="22"/>
          <w:szCs w:val="22"/>
        </w:rPr>
        <w:t>ng: Tr</w:t>
      </w:r>
      <w:r w:rsidRPr="00620A5E">
        <w:rPr>
          <w:rFonts w:ascii="Arial" w:eastAsia="Times New Roman" w:hAnsi="Arial" w:cs="Arial"/>
          <w:b/>
          <w:bCs/>
          <w:color w:val="800000"/>
          <w:sz w:val="22"/>
          <w:szCs w:val="22"/>
        </w:rPr>
        <w:t>ườ</w:t>
      </w:r>
      <w:r w:rsidRPr="00620A5E">
        <w:rPr>
          <w:rFonts w:ascii="Calibri" w:eastAsia="Times New Roman" w:hAnsi="Calibri"/>
          <w:b/>
          <w:bCs/>
          <w:color w:val="800000"/>
          <w:sz w:val="22"/>
          <w:szCs w:val="22"/>
        </w:rPr>
        <w:t>ng h</w:t>
      </w:r>
      <w:r w:rsidRPr="00620A5E">
        <w:rPr>
          <w:rFonts w:ascii="Arial" w:eastAsia="Times New Roman" w:hAnsi="Arial" w:cs="Arial"/>
          <w:b/>
          <w:bCs/>
          <w:color w:val="800000"/>
          <w:sz w:val="22"/>
          <w:szCs w:val="22"/>
        </w:rPr>
        <w:t>ợ</w:t>
      </w:r>
      <w:r w:rsidRPr="00620A5E">
        <w:rPr>
          <w:rFonts w:ascii="Calibri" w:eastAsia="Times New Roman" w:hAnsi="Calibri"/>
          <w:b/>
          <w:bCs/>
          <w:color w:val="800000"/>
          <w:sz w:val="22"/>
          <w:szCs w:val="22"/>
        </w:rPr>
        <w:t>p c</w:t>
      </w:r>
      <w:r w:rsidRPr="00620A5E">
        <w:rPr>
          <w:rFonts w:ascii="Arial" w:eastAsia="Times New Roman" w:hAnsi="Arial" w:cs="Arial"/>
          <w:b/>
          <w:bCs/>
          <w:color w:val="800000"/>
          <w:sz w:val="22"/>
          <w:szCs w:val="22"/>
        </w:rPr>
        <w:t>ủ</w:t>
      </w:r>
      <w:r w:rsidRPr="00620A5E">
        <w:rPr>
          <w:rFonts w:ascii="Calibri" w:eastAsia="Times New Roman" w:hAnsi="Calibri"/>
          <w:b/>
          <w:bCs/>
          <w:color w:val="800000"/>
          <w:sz w:val="22"/>
          <w:szCs w:val="22"/>
        </w:rPr>
        <w:t>a Vi</w:t>
      </w:r>
      <w:r w:rsidRPr="00620A5E">
        <w:rPr>
          <w:rFonts w:ascii="Arial" w:eastAsia="Times New Roman" w:hAnsi="Arial" w:cs="Arial"/>
          <w:b/>
          <w:bCs/>
          <w:color w:val="800000"/>
          <w:sz w:val="22"/>
          <w:szCs w:val="22"/>
        </w:rPr>
        <w:t>ệ</w:t>
      </w:r>
      <w:r w:rsidRPr="00620A5E">
        <w:rPr>
          <w:rFonts w:ascii="Calibri" w:eastAsia="Times New Roman" w:hAnsi="Calibri"/>
          <w:b/>
          <w:bCs/>
          <w:color w:val="800000"/>
          <w:sz w:val="22"/>
          <w:szCs w:val="22"/>
        </w:rPr>
        <w:t>t Nam = Economic and distributional impacts of comprehensive and progressive agreement for Trans-Pacific Partnership: The case of Vietnam.</w:t>
      </w:r>
      <w:bookmarkEnd w:id="27"/>
    </w:p>
    <w:p w:rsidR="00620A5E" w:rsidRPr="00620A5E" w:rsidRDefault="00620A5E" w:rsidP="00620A5E">
      <w:pPr>
        <w:spacing w:before="100" w:beforeAutospacing="1"/>
        <w:rPr>
          <w:rFonts w:eastAsia="Times New Roman"/>
        </w:rPr>
      </w:pPr>
      <w:proofErr w:type="gramStart"/>
      <w:r w:rsidRPr="00620A5E">
        <w:rPr>
          <w:rFonts w:eastAsia="Times New Roman"/>
        </w:rPr>
        <w:t>Maryla Maliszewska, Zoryana Olekseyuk and Israel Osorio-Rodarte.</w:t>
      </w:r>
      <w:proofErr w:type="gramEnd"/>
      <w:r w:rsidRPr="00620A5E">
        <w:rPr>
          <w:rFonts w:eastAsia="Times New Roman"/>
        </w:rPr>
        <w:t xml:space="preserve"> World Bank Group, 2018.</w:t>
      </w:r>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22" w:tgtFrame="_blank" w:history="1">
        <w:r w:rsidRPr="00620A5E">
          <w:rPr>
            <w:rFonts w:eastAsia="Times New Roman"/>
            <w:color w:val="0000FF"/>
            <w:u w:val="single"/>
          </w:rPr>
          <w:t>http://documents.worldbank.org/curated/en/530071520516750941/Economic-and-distributional-impacts-of-comprehensive-and-progressive-agreement-for-trans-pacific-partnership-the-case-of-Vietnam</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Báo cáo này đánh giá tác động kinh tế và phân bổ </w:t>
      </w:r>
      <w:proofErr w:type="gramStart"/>
      <w:r w:rsidRPr="00620A5E">
        <w:rPr>
          <w:rFonts w:eastAsia="Times New Roman"/>
        </w:rPr>
        <w:t>thu</w:t>
      </w:r>
      <w:proofErr w:type="gramEnd"/>
      <w:r w:rsidRPr="00620A5E">
        <w:rPr>
          <w:rFonts w:eastAsia="Times New Roman"/>
        </w:rPr>
        <w:t xml:space="preserve"> nhập của Hiệp định Đối tác Toàn diện và Tiến bộ Xuyên Thái Bình Dương (CPTPP, còn gọi là TPP-11). Tác động tiềm tàng của CPTPP được so sánh với Hiệp định Đối tác Kinh tế Toàn diện Khu vực (RCEP) và Hiệp định Đối tác Xuyên Thái Bình Dương ban đầu (TPP-12) đối với Việt Nam. Kết quả mô phỏng của chúng tôi cho thấy một số tác động chính của CPTPP như sau: (i) Sản lượng: So với kịch bản cơ sở và năm gốc (2011), tính đến năm 2030, theo các giả định thận trọng, GDP của Việt Nam ước tính sẽ tăng 1</w:t>
      </w:r>
      <w:proofErr w:type="gramStart"/>
      <w:r w:rsidRPr="00620A5E">
        <w:rPr>
          <w:rFonts w:eastAsia="Times New Roman"/>
        </w:rPr>
        <w:t>,1</w:t>
      </w:r>
      <w:proofErr w:type="gramEnd"/>
      <w:r w:rsidRPr="00620A5E">
        <w:rPr>
          <w:rFonts w:eastAsia="Times New Roman"/>
        </w:rPr>
        <w:t>%, so với mức tăng 0,4% của RCEP và 3,6% của TPP-12. Nếu giả định mức tăng năng suất vừa phải, tăng trưởng GDP ước tính lên tới 3</w:t>
      </w:r>
      <w:proofErr w:type="gramStart"/>
      <w:r w:rsidRPr="00620A5E">
        <w:rPr>
          <w:rFonts w:eastAsia="Times New Roman"/>
        </w:rPr>
        <w:t>,5</w:t>
      </w:r>
      <w:proofErr w:type="gramEnd"/>
      <w:r w:rsidRPr="00620A5E">
        <w:rPr>
          <w:rFonts w:eastAsia="Times New Roman"/>
        </w:rPr>
        <w:t xml:space="preserve">% so với 6,6% của TPP-12 và 1% của RCEP. (ii) Xuất nhập khẩu: Với CPTPP, xuất khẩu dự báo sẽ tăng thêm 4,2%; nhập khẩu tăng thêm 5,3% và sẽ tăng cao hơn lần lượt ở các mức 6,9% và 7,6% với kịch bản có năng suất tăng. (iii) Thuế xuất nhập khẩu: Với CPTPP, mức thuế xuất nhập khẩu bình quân gia quyền áp dụng cho các doanh nghiệp Việt Nam xuất khẩu sang các thị trường CPTPP sẽ giảm từ 1,7% xuống 0,2%. </w:t>
      </w:r>
      <w:proofErr w:type="gramStart"/>
      <w:r w:rsidRPr="00620A5E">
        <w:rPr>
          <w:rFonts w:eastAsia="Times New Roman"/>
        </w:rPr>
        <w:t>(iv)</w:t>
      </w:r>
      <w:proofErr w:type="gramEnd"/>
      <w:r w:rsidRPr="00620A5E">
        <w:rPr>
          <w:rFonts w:eastAsia="Times New Roman"/>
        </w:rPr>
        <w:t>Hàng rào phi thuế quan (HRPTQ): Những HRPTQ áp dụng đối với Việt Nam tại các thị trường CPTPP dự kiến sẽ giảm bình quân 3</w:t>
      </w:r>
      <w:proofErr w:type="gramStart"/>
      <w:r w:rsidRPr="00620A5E">
        <w:rPr>
          <w:rFonts w:eastAsia="Times New Roman"/>
        </w:rPr>
        <w:t>,6</w:t>
      </w:r>
      <w:proofErr w:type="gramEnd"/>
      <w:r w:rsidRPr="00620A5E">
        <w:rPr>
          <w:rFonts w:eastAsia="Times New Roman"/>
        </w:rPr>
        <w:t xml:space="preserve"> điểm phần trăm tính tương đương thuế quan </w:t>
      </w:r>
      <w:r w:rsidRPr="00620A5E">
        <w:rPr>
          <w:rFonts w:eastAsia="Times New Roman"/>
        </w:rPr>
        <w:lastRenderedPageBreak/>
        <w:t>theo giá hàng (ad-valorem). (v) Tác động theo ngành: Với CPTPP, mức tăng trưởng cao nhất về sản lượng dự tính sẽ thuộc về các ngành thực phẩm, đồ uống, thuốc lá; may mặc, hàng da; dệt may cùng với tăng trưởng vừa phải ở một số tiểu lĩnh vực sản xuất công nghiệp và dịch vụ. Xuất khẩu tăng dự kiến sẽ đạt cao nhất ở các ngành thực phẩm, đồ uống, thuốc lá; may mặc, hàng da; hóa chất, sản phẩm da và nhựa; thiết bị, phương tiện vận tải; máy móc, thiết bị khác. Nhập khẩu dự kiến sẽ tăng ở tất cả các ngành. (vi) Tác động phân bổ thu nhập: Đến năm 2030, CPTPP dự kiến sẽ giúp giảm 0</w:t>
      </w:r>
      <w:proofErr w:type="gramStart"/>
      <w:r w:rsidRPr="00620A5E">
        <w:rPr>
          <w:rFonts w:eastAsia="Times New Roman"/>
        </w:rPr>
        <w:t>,6</w:t>
      </w:r>
      <w:proofErr w:type="gramEnd"/>
      <w:r w:rsidRPr="00620A5E">
        <w:rPr>
          <w:rFonts w:eastAsia="Times New Roman"/>
        </w:rPr>
        <w:t xml:space="preserve"> triệu người nghèo ở mức chuẩn nghèo 5,50 $/ngày so với kịch bản cơ sở. Tất cả các nhóm </w:t>
      </w:r>
      <w:proofErr w:type="gramStart"/>
      <w:r w:rsidRPr="00620A5E">
        <w:rPr>
          <w:rFonts w:eastAsia="Times New Roman"/>
        </w:rPr>
        <w:t>thu</w:t>
      </w:r>
      <w:proofErr w:type="gramEnd"/>
      <w:r w:rsidRPr="00620A5E">
        <w:rPr>
          <w:rFonts w:eastAsia="Times New Roman"/>
        </w:rPr>
        <w:t xml:space="preserve"> nhập dự kiến sẽ được hưởng lợi, nhưng mức lợi ích đạt được sẽ cao hơn ở nhóm lao động trình độ cao thuộc tốp 60% nhóm phân bổ thu nhập cao nhất. Điều này càng cho thấy tầm quan trọng của việc đầu tư vào nguồn vốn con người để tận dụng đầy đủ lợi ích từ hiệp định. --- Cho đến nay vẫn còn nhiều điểm chưa rõ như những điều khoản cụ thể nào sẽ được đưa vào CPTPP và RCEP, cũng như tác động đến việc cải thiện khả năng tiếp cận thị trường hay giảm HRPTQ. Phân tích của chúng tôi sử dụng những giả định tối ưu có được, nhưng tác động của các hiệp định thương mại tự do (FTA) suy cho cùng sẽ vẫn phụ thuộc vào những cam kết cụ thể và tình hình thực hiện cam kết. Kết quả mô phỏng trình bày trong báo cáo này là các con số ước tính ở ngưỡng thấp về những lợi ích đạt được từ việc mở cửa thị trường, vì nhiều nội dung của các FTA không đưa được vào mô hình, như tác động đối với đầu tư trực tiếp nước ngoài, những lợi ích về năng suất (nội sinh) hay phát triển sản phẩm xuất khẩu mới. Ngoài ra, mô hình cũng không tính đến tác động của những biện pháp như hài hòa các tiêu chuẩn lao động hay môi trường, các điều khoản về quyền sở hữu trí tuệ, doanh nghiệp nhà nước, cơ chế giải quyết tranh chấp đầu tư giữa nhà nước và nhà đầu tư hay đấu thầu, mua sắm công. ========== Vietnam is evaluating the economic gains from deepening regional trade integration under free trade agreements. The two major new agreements include Comprehensive and Progressive Agreement for Trans-Pacific Partnership (CPTPP) to be signed in March 2018 following the US departure from the Trans-Pacific Partnership (TPP) in January 2017 and the Regional Comprehensive Economic Partnership (RCEP) in its 21st round of negotiations. At the cross-roads, this paper contributes to the ongoing discussion on further trade integration of Vietnam by evaluating the economy-wide and distributional implications supporting the continuation of CPTPP despite the US departure and following up with RCEP. The innovative use of a global dynamic computable general equilibrium model (CGE) linked with a top-down micro simulation model allow us to assess winners and losers within the country. It is well understood that the gains from trade are not equally shared by allsegments of the population. In such circumstances, analyzing the distributional consequences of each </w:t>
      </w:r>
      <w:proofErr w:type="gramStart"/>
      <w:r w:rsidRPr="00620A5E">
        <w:rPr>
          <w:rFonts w:eastAsia="Times New Roman"/>
        </w:rPr>
        <w:t>FTAs</w:t>
      </w:r>
      <w:proofErr w:type="gramEnd"/>
      <w:r w:rsidRPr="00620A5E">
        <w:rPr>
          <w:rFonts w:eastAsia="Times New Roman"/>
        </w:rPr>
        <w:t xml:space="preserve"> opens the discussion towards the implementation of policies to ameliorate the negative consequences of FTAs. This paper is organized as follows. Section II covers the main methodologicalaspects behind the simulations. This section describes the main assumptions of the CGE model and the top-down microsimulation model; defines broadly interventions in each scenario, and quantifies expected sectoral reductions in tariffs and non-tariff measures (NTMs) in Vietnam and other FTA signatory countries. Section III presents economy-wide simulations results, trade diversion and creation effects and distributional impacts associated with each FTA. Section IV concludes.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23"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after="100" w:afterAutospacing="1"/>
        <w:outlineLvl w:val="0"/>
        <w:rPr>
          <w:rFonts w:eastAsia="Times New Roman"/>
          <w:b/>
          <w:bCs/>
          <w:kern w:val="36"/>
          <w:sz w:val="48"/>
          <w:szCs w:val="48"/>
        </w:rPr>
      </w:pPr>
      <w:bookmarkStart w:id="28" w:name="m_-9074501289396108005__Toc508808176"/>
      <w:r w:rsidRPr="00620A5E">
        <w:rPr>
          <w:rFonts w:eastAsia="Times New Roman"/>
          <w:b/>
          <w:bCs/>
          <w:kern w:val="36"/>
          <w:sz w:val="48"/>
          <w:szCs w:val="48"/>
          <w:shd w:val="clear" w:color="auto" w:fill="D3D3D3"/>
        </w:rPr>
        <w:lastRenderedPageBreak/>
        <w:t>Education</w:t>
      </w:r>
      <w:bookmarkEnd w:id="28"/>
      <w:r w:rsidRPr="00620A5E">
        <w:rPr>
          <w:rFonts w:eastAsia="Times New Roman"/>
          <w:b/>
          <w:bCs/>
          <w:kern w:val="36"/>
          <w:sz w:val="48"/>
          <w:szCs w:val="48"/>
          <w:shd w:val="clear" w:color="auto" w:fill="D3D3D3"/>
        </w:rPr>
        <w:t xml:space="preserve"> </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29" w:name="m_-9074501289396108005__Toc508808177"/>
      <w:r w:rsidRPr="00620A5E">
        <w:rPr>
          <w:rFonts w:ascii="Calibri" w:eastAsia="Times New Roman" w:hAnsi="Calibri"/>
          <w:b/>
          <w:bCs/>
          <w:color w:val="800000"/>
          <w:sz w:val="22"/>
          <w:szCs w:val="22"/>
        </w:rPr>
        <w:t>Bilingual identity of ethnic minority students: insights from Vietnam.</w:t>
      </w:r>
      <w:bookmarkEnd w:id="29"/>
    </w:p>
    <w:p w:rsidR="00620A5E" w:rsidRPr="00620A5E" w:rsidRDefault="00620A5E" w:rsidP="00620A5E">
      <w:pPr>
        <w:spacing w:before="100" w:beforeAutospacing="1"/>
        <w:rPr>
          <w:rFonts w:eastAsia="Times New Roman"/>
        </w:rPr>
      </w:pPr>
      <w:r w:rsidRPr="00620A5E">
        <w:rPr>
          <w:rFonts w:eastAsia="Times New Roman"/>
        </w:rPr>
        <w:t>Trang Thi Thuy Nguyen. International Journal of Bilingual Education and Bilingualism, 2018, pp. 1-16.</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This study examines bilingual identity of Vietnamese ethnic minority students as reflected in their language practices, language beliefs and language management. It also focuses on factors related to ethnic-cultural factors, social factors, interaction and investment that influence their bilingual identity. Data were obtained from multiple semi-structured interviews conducted with a group of college-age students. Findings suggest that the students, in practising and managing their languages while being informed by their language beliefs, configured their identity as a process in which both preservation of ethnic identity (maintenance) and construction of mainstream identity (transformation) were active. It is argued that there can be a harmonious coexistence between maintenance and transformation in the same individual under certain social circumstances. For some students however, the transformation tendency inclined to become stronger, and that raises the question of their maintenance of L1 and ethnic identity in the long run. As ethnic-cultural factors seemed to be the most salient influence on the students? </w:t>
      </w:r>
      <w:proofErr w:type="gramStart"/>
      <w:r w:rsidRPr="00620A5E">
        <w:rPr>
          <w:rFonts w:eastAsia="Times New Roman"/>
        </w:rPr>
        <w:t>maintenance</w:t>
      </w:r>
      <w:proofErr w:type="gramEnd"/>
      <w:r w:rsidRPr="00620A5E">
        <w:rPr>
          <w:rFonts w:eastAsia="Times New Roman"/>
        </w:rPr>
        <w:t xml:space="preserve"> orientation, implications for optimising the role of ethnic-cultural factors, that are critical for protection of endangered minority languages, are suggested.</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30" w:name="m_-9074501289396108005__Toc508808178"/>
      <w:r w:rsidRPr="00620A5E">
        <w:rPr>
          <w:rFonts w:ascii="Calibri" w:eastAsia="Times New Roman" w:hAnsi="Calibri"/>
          <w:b/>
          <w:bCs/>
          <w:color w:val="800000"/>
          <w:sz w:val="22"/>
          <w:szCs w:val="22"/>
        </w:rPr>
        <w:t>Ethnic gaps in child education outcomes in Vietnam: an investigation using Young Lives data.</w:t>
      </w:r>
      <w:bookmarkEnd w:id="30"/>
    </w:p>
    <w:p w:rsidR="00620A5E" w:rsidRPr="00620A5E" w:rsidRDefault="00620A5E" w:rsidP="00620A5E">
      <w:pPr>
        <w:spacing w:before="100" w:beforeAutospacing="1"/>
        <w:rPr>
          <w:rFonts w:eastAsia="Times New Roman"/>
        </w:rPr>
      </w:pPr>
      <w:r w:rsidRPr="00620A5E">
        <w:rPr>
          <w:rFonts w:eastAsia="Times New Roman"/>
        </w:rPr>
        <w:t xml:space="preserve">Hieu T.  </w:t>
      </w:r>
      <w:proofErr w:type="gramStart"/>
      <w:r w:rsidRPr="00620A5E">
        <w:rPr>
          <w:rFonts w:eastAsia="Times New Roman"/>
        </w:rPr>
        <w:t>M Nguyen.</w:t>
      </w:r>
      <w:proofErr w:type="gramEnd"/>
      <w:r w:rsidRPr="00620A5E">
        <w:rPr>
          <w:rFonts w:eastAsia="Times New Roman"/>
        </w:rPr>
        <w:t xml:space="preserve"> Education Economics, 2018, pp. 1-19.</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There are large gaps in child education outcomes between the Kinh majority and non-Kinh minorities in Vietnam. This paper seeks to understand the reasons for these ethnic gaps. The examination employs Probit and multilevel regression models, and associated decomposition techniques. The results show that Vietnam</w:t>
      </w:r>
      <w:proofErr w:type="gramStart"/>
      <w:r w:rsidRPr="00620A5E">
        <w:rPr>
          <w:rFonts w:eastAsia="Times New Roman"/>
        </w:rPr>
        <w:t>?s</w:t>
      </w:r>
      <w:proofErr w:type="gramEnd"/>
      <w:r w:rsidRPr="00620A5E">
        <w:rPr>
          <w:rFonts w:eastAsia="Times New Roman"/>
        </w:rPr>
        <w:t xml:space="preserve"> ethnic gap in school enrolment is mostly attributable to household characteristics such as household expenditure and father?s education. Gaps in schooling progress and performance are explained by a broader set of variables such as child, household, commune, school, and peer characteristics.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24"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31" w:name="m_-9074501289396108005__Toc508808179"/>
      <w:r w:rsidRPr="00620A5E">
        <w:rPr>
          <w:rFonts w:ascii="Calibri" w:eastAsia="Times New Roman" w:hAnsi="Calibri"/>
          <w:b/>
          <w:bCs/>
          <w:color w:val="800000"/>
          <w:sz w:val="22"/>
          <w:szCs w:val="22"/>
        </w:rPr>
        <w:lastRenderedPageBreak/>
        <w:t>Academic Integrity in Higher Education: The Case of Plagiarism of Graduation Reports by Undergraduate Seniors in Vietnam.</w:t>
      </w:r>
      <w:bookmarkEnd w:id="31"/>
    </w:p>
    <w:p w:rsidR="00620A5E" w:rsidRPr="00620A5E" w:rsidRDefault="00620A5E" w:rsidP="00620A5E">
      <w:pPr>
        <w:spacing w:before="100" w:beforeAutospacing="1"/>
        <w:rPr>
          <w:rFonts w:eastAsia="Times New Roman"/>
        </w:rPr>
      </w:pPr>
      <w:proofErr w:type="gramStart"/>
      <w:r w:rsidRPr="00620A5E">
        <w:rPr>
          <w:rFonts w:eastAsia="Times New Roman"/>
        </w:rPr>
        <w:t>Ut T. Tran, Thanh Huynh and Hoa Thanh T. Nguyen.</w:t>
      </w:r>
      <w:proofErr w:type="gramEnd"/>
      <w:r w:rsidRPr="00620A5E">
        <w:rPr>
          <w:rFonts w:eastAsia="Times New Roman"/>
        </w:rPr>
        <w:t xml:space="preserve"> Journal of Academic Ethics, 2018, volume 16, number 1, pp. 61-69.</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Plagiarism in higher education has become widespread among students in Vietnam. This paper aims to examine the seriousness of the problem by comparing the severity of plagiarism in two universities, one of which uses Turnitin software to check its student reports. For that purpose, 977 samples have been drawn from 1434 required graduation reports written by senior undergraduates in the economics and management field from 2013 to 2015. Turnitin’s “Similarity Index” (SI) was used to check for alleged plagiarism, which was found to be more widespread at the university not using Turnitin. At that university, 91.7% of the graduation reports were defined as plagiarized, while 61.7% of the reports were plagiarized at the university using the software. The main source of this problem was the use of information from the internet without citing the original authors. </w:t>
      </w:r>
      <w:proofErr w:type="gramStart"/>
      <w:r w:rsidRPr="00620A5E">
        <w:rPr>
          <w:rFonts w:eastAsia="Times New Roman"/>
        </w:rPr>
        <w:t>[Ut-etal-2018.pdf].</w:t>
      </w:r>
      <w:proofErr w:type="gramEnd"/>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32" w:name="m_-9074501289396108005__Toc508808180"/>
      <w:proofErr w:type="gramStart"/>
      <w:r w:rsidRPr="00620A5E">
        <w:rPr>
          <w:rFonts w:ascii="Calibri" w:eastAsia="Times New Roman" w:hAnsi="Calibri"/>
          <w:b/>
          <w:bCs/>
          <w:color w:val="800000"/>
          <w:sz w:val="22"/>
          <w:szCs w:val="22"/>
        </w:rPr>
        <w:t>Knowledge Sharing Barriers in Vietnamese Higher Education Institutions (HEIS).</w:t>
      </w:r>
      <w:bookmarkEnd w:id="32"/>
      <w:proofErr w:type="gramEnd"/>
    </w:p>
    <w:p w:rsidR="00620A5E" w:rsidRPr="00620A5E" w:rsidRDefault="00620A5E" w:rsidP="00620A5E">
      <w:pPr>
        <w:spacing w:before="100" w:beforeAutospacing="1"/>
        <w:rPr>
          <w:rFonts w:eastAsia="Times New Roman"/>
        </w:rPr>
      </w:pPr>
      <w:proofErr w:type="gramStart"/>
      <w:r w:rsidRPr="00620A5E">
        <w:rPr>
          <w:rFonts w:eastAsia="Times New Roman"/>
        </w:rPr>
        <w:t>Canh Van Ta and Suzanne Zyngier.</w:t>
      </w:r>
      <w:proofErr w:type="gramEnd"/>
      <w:r w:rsidRPr="00620A5E">
        <w:rPr>
          <w:rFonts w:eastAsia="Times New Roman"/>
        </w:rPr>
        <w:t xml:space="preserve"> International Journal of Knowledge Management (IJKM), 2018, volume 14, number 1.</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This article explores the barriers for sharing knowledge effectiveness in Vietnamese higher education institutions (HEIs). Data were analyzed and triangulated from interviews, and focus groups from different universities and from government and university websites. Three significant factors were identified: bureaucratic management causing a lack of autonomy in decision-making, poor knowledge management systems, and weak individual absorptive capacity. The results demonstrate these three factors as a significant influence on academic staff to share absorb and create new knowledge measured by journal publication output, and graduate quality. The research findings provide insights on the Vietnamese higher education landscape in the transition from a centralized economy to a market economy.</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25"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33" w:name="m_-9074501289396108005__Toc508808181"/>
      <w:r w:rsidRPr="00620A5E">
        <w:rPr>
          <w:rFonts w:ascii="Calibri" w:eastAsia="Times New Roman" w:hAnsi="Calibri"/>
          <w:b/>
          <w:bCs/>
          <w:color w:val="800000"/>
          <w:sz w:val="22"/>
          <w:szCs w:val="22"/>
        </w:rPr>
        <w:t>Twin Privatization in Vietnam Higher Education: The Emergence of Private Higher Education and Partial Privatization of Public Universities.</w:t>
      </w:r>
      <w:bookmarkEnd w:id="33"/>
    </w:p>
    <w:p w:rsidR="00620A5E" w:rsidRPr="00620A5E" w:rsidRDefault="00620A5E" w:rsidP="00620A5E">
      <w:pPr>
        <w:spacing w:before="100" w:beforeAutospacing="1"/>
        <w:rPr>
          <w:rFonts w:eastAsia="Times New Roman"/>
        </w:rPr>
      </w:pPr>
      <w:proofErr w:type="gramStart"/>
      <w:r w:rsidRPr="00620A5E">
        <w:rPr>
          <w:rFonts w:eastAsia="Times New Roman"/>
        </w:rPr>
        <w:t>Lan</w:t>
      </w:r>
      <w:proofErr w:type="gramEnd"/>
      <w:r w:rsidRPr="00620A5E">
        <w:rPr>
          <w:rFonts w:eastAsia="Times New Roman"/>
        </w:rPr>
        <w:t xml:space="preserve"> Hoang. </w:t>
      </w:r>
      <w:proofErr w:type="gramStart"/>
      <w:r w:rsidRPr="00620A5E">
        <w:rPr>
          <w:rFonts w:eastAsia="Times New Roman"/>
        </w:rPr>
        <w:t>Higher Education Policy, 2018.</w:t>
      </w:r>
      <w:proofErr w:type="gramEnd"/>
    </w:p>
    <w:p w:rsidR="00620A5E" w:rsidRPr="00620A5E" w:rsidRDefault="00620A5E" w:rsidP="00620A5E">
      <w:pPr>
        <w:spacing w:before="100" w:beforeAutospacing="1"/>
        <w:rPr>
          <w:rFonts w:eastAsia="Times New Roman"/>
        </w:rPr>
      </w:pPr>
      <w:r w:rsidRPr="00620A5E">
        <w:rPr>
          <w:rFonts w:eastAsia="Times New Roman"/>
        </w:rPr>
        <w:lastRenderedPageBreak/>
        <w:t> </w:t>
      </w:r>
    </w:p>
    <w:p w:rsidR="00620A5E" w:rsidRPr="00620A5E" w:rsidRDefault="00620A5E" w:rsidP="00620A5E">
      <w:pPr>
        <w:spacing w:before="100" w:beforeAutospacing="1"/>
        <w:rPr>
          <w:rFonts w:eastAsia="Times New Roman"/>
        </w:rPr>
      </w:pPr>
      <w:r w:rsidRPr="00620A5E">
        <w:rPr>
          <w:rFonts w:eastAsia="Times New Roman"/>
        </w:rPr>
        <w:t>Abstract: In higher education (HE), twin privatization involves permitting private providers to enter the higher education system and partially privatize public institutions. In the past decade, privatization has facilitated the growth of Vietnam HE. Private higher education (PHE) in Vietnam has experienced significant growth but remains a relatively small share, whereas public enrollment has witnessed remarkable expansion, making up most of the HE enrollment growth. The study characterizes the twin privatization phenomenon in Vietnam HE growth through inter- and intra-sectoral analyses of the private and public sectors. On the one hand, by examining public–private competitiveness using university admissions scores and quota by field of study, the study identifies PHE subsectors with demand-absorbing institutions assuming the access role and the emerging serious demand-absorbing PHE subsector with a few private institutions becoming more competitive than the average public provincial institutions. On the other hand, using public–private part-time enrollment as a gauge for the extent of privatization in public institutions, the study suggests that, while the growth of Vietnam HE enrollment is contributed mostly by the public sector, a majority of the public contribution comes from the expansion of part-time enrollment. Examining selected public university revenue sources also reveals a higher level of dependence on non-state budget.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34" w:name="m_-9074501289396108005__Toc508808182"/>
      <w:proofErr w:type="gramStart"/>
      <w:r w:rsidRPr="00620A5E">
        <w:rPr>
          <w:rFonts w:ascii="Calibri" w:eastAsia="Times New Roman" w:hAnsi="Calibri"/>
          <w:b/>
          <w:bCs/>
          <w:color w:val="800000"/>
          <w:sz w:val="22"/>
          <w:szCs w:val="22"/>
        </w:rPr>
        <w:t>Primary education in Vietnam and pupil online engagement.</w:t>
      </w:r>
      <w:bookmarkEnd w:id="34"/>
      <w:proofErr w:type="gramEnd"/>
    </w:p>
    <w:p w:rsidR="00620A5E" w:rsidRPr="00620A5E" w:rsidRDefault="00620A5E" w:rsidP="00620A5E">
      <w:pPr>
        <w:spacing w:before="100" w:beforeAutospacing="1"/>
        <w:rPr>
          <w:rFonts w:eastAsia="Times New Roman"/>
        </w:rPr>
      </w:pPr>
      <w:r w:rsidRPr="00620A5E">
        <w:rPr>
          <w:rFonts w:eastAsia="Times New Roman"/>
        </w:rPr>
        <w:t>Quynh Thi Nguyen, Raouf N.G. Naguib, Ashish K. Das, Michail Papathomas, Edgar A. Vallar and others. International Journal of Educational Management, 2018, volume 32, number 1.</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This paper focuses on exploring the disparities in social awareness and use of the Internet between urban and rural school children in the North of Vietnam. Design/methodology/approach: A total of 525 pupils, aged 9 to 11 years old, randomly selected from 7 urban and rural schools, who are Internet users, participated in the study and consented to responding to a questionnaire adapted from an equivalent European Union (EU) study. A comparative statistical analysis of the responses was then carried out, using IBM SPSS v21, which consisted of a descriptive analysis, an identification of personal self-development opportunities, as well as issues related to pupils’ digital prowess and knowledge of Internet use, and Internet safety, including parental engagement in their offspring’s online activities. Findings: The study highlights the fact that children from both the urban and rural regions of the North of Vietnam mostly access to the Internet from home, but with more children in the urbanized areas accessing it at school than their rural counterparts. Although children from the rural areas scored lower on all the Internet indicators, such as digital access and online personal experience and awareness, there was no disparity in awareness of Internet risks between the two sub-samples. It is noteworthy that there was no statistically significant gender difference towards online activities that support self-development. In relation to safe Internet usage, children are likely to seek advice from their parents, rather than through teachers or friends. However, they are not yet provided with an effective safety net while exposing themselves to the digital world. Originality/value: Although the Vietnamese national curriculum on the Computer Science </w:t>
      </w:r>
      <w:r w:rsidRPr="00620A5E">
        <w:rPr>
          <w:rFonts w:eastAsia="Times New Roman"/>
        </w:rPr>
        <w:lastRenderedPageBreak/>
        <w:t>subject does not explicitly cover the use of the Internet and its related aspects, the majority of children who took part in this study claimed to have used the Internet in their learning activities. This emphasises the urgent need for the MoE and educators in the country to not only improve ICT facilities in schools, but also to revise the Computer Science curriculum in order to (a) provide a supportive environment for learning development and (b) collectively advocate the dynamics of Internet use in order to ensure safe access and use by the children.</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26"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after="100" w:afterAutospacing="1"/>
        <w:outlineLvl w:val="0"/>
        <w:rPr>
          <w:rFonts w:eastAsia="Times New Roman"/>
          <w:b/>
          <w:bCs/>
          <w:kern w:val="36"/>
          <w:sz w:val="48"/>
          <w:szCs w:val="48"/>
        </w:rPr>
      </w:pPr>
      <w:bookmarkStart w:id="35" w:name="m_-9074501289396108005__Toc508808183"/>
      <w:r w:rsidRPr="00620A5E">
        <w:rPr>
          <w:rFonts w:eastAsia="Times New Roman"/>
          <w:b/>
          <w:bCs/>
          <w:kern w:val="36"/>
          <w:sz w:val="48"/>
          <w:szCs w:val="48"/>
          <w:shd w:val="clear" w:color="auto" w:fill="D3D3D3"/>
        </w:rPr>
        <w:t>Environment</w:t>
      </w:r>
      <w:bookmarkEnd w:id="35"/>
      <w:r w:rsidRPr="00620A5E">
        <w:rPr>
          <w:rFonts w:eastAsia="Times New Roman"/>
          <w:b/>
          <w:bCs/>
          <w:kern w:val="36"/>
          <w:sz w:val="48"/>
          <w:szCs w:val="48"/>
          <w:shd w:val="clear" w:color="auto" w:fill="D3D3D3"/>
        </w:rPr>
        <w:t xml:space="preserve"> </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36" w:name="m_-9074501289396108005__Toc508808184"/>
      <w:r w:rsidRPr="00620A5E">
        <w:rPr>
          <w:rFonts w:ascii="Calibri" w:eastAsia="Times New Roman" w:hAnsi="Calibri"/>
          <w:b/>
          <w:bCs/>
          <w:color w:val="800000"/>
          <w:sz w:val="22"/>
          <w:szCs w:val="22"/>
        </w:rPr>
        <w:t>Barriers and enablers to climate change adaptation in hierarchical governance systems: the case of Vietnam.</w:t>
      </w:r>
      <w:bookmarkEnd w:id="36"/>
    </w:p>
    <w:p w:rsidR="00620A5E" w:rsidRPr="00620A5E" w:rsidRDefault="00620A5E" w:rsidP="00620A5E">
      <w:pPr>
        <w:spacing w:before="100" w:beforeAutospacing="1"/>
        <w:rPr>
          <w:rFonts w:eastAsia="Times New Roman"/>
        </w:rPr>
      </w:pPr>
      <w:proofErr w:type="gramStart"/>
      <w:r w:rsidRPr="00620A5E">
        <w:rPr>
          <w:rFonts w:eastAsia="Times New Roman"/>
        </w:rPr>
        <w:t>Le Thi Hong Phuong, G. Robbert Biesbroek and Arjen E.</w:t>
      </w:r>
      <w:proofErr w:type="gramEnd"/>
      <w:r w:rsidRPr="00620A5E">
        <w:rPr>
          <w:rFonts w:eastAsia="Times New Roman"/>
        </w:rPr>
        <w:t xml:space="preserve">  </w:t>
      </w:r>
      <w:proofErr w:type="gramStart"/>
      <w:r w:rsidRPr="00620A5E">
        <w:rPr>
          <w:rFonts w:eastAsia="Times New Roman"/>
        </w:rPr>
        <w:t>J Wals.</w:t>
      </w:r>
      <w:proofErr w:type="gramEnd"/>
      <w:r w:rsidRPr="00620A5E">
        <w:rPr>
          <w:rFonts w:eastAsia="Times New Roman"/>
        </w:rPr>
        <w:t xml:space="preserve"> Journal of Environmental Policy &amp; Planning, 2018, pp. 1-15.</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Governments fulfil important roles in increasing the adaptive capacity of local communities to respond to climate change impacts, particularly in developing countries. Existing studies on how governments enable and constrain the ways in which local level communities learn and build their adaptive capacity, however, generally adopt network or market-oriented types of governance. However, the most vulnerable regions to climate change impact in the world are generally governed through hierarchical policy systems. This research aims to understand how the hierarchical policy system in Vietnam creates enables and/or constrains the policy capacity of policy actors to contribute to effective climate change adaptation. We conducted interviews (n</w:t>
      </w:r>
      <w:proofErr w:type="gramStart"/>
      <w:r w:rsidRPr="00620A5E">
        <w:rPr>
          <w:rFonts w:eastAsia="Times New Roman"/>
        </w:rPr>
        <w:t>?=</w:t>
      </w:r>
      <w:proofErr w:type="gramEnd"/>
      <w:r w:rsidRPr="00620A5E">
        <w:rPr>
          <w:rFonts w:eastAsia="Times New Roman"/>
        </w:rPr>
        <w:t>?26) with key actors at multiple levels of government. Our findings show the importance of clear legal institutions, available financing for implementing policies, and the training of governmental staff, particularly at district and commune levels where the policy capacities are generally too low to deal with climate change impacts. We conclude that any efforts to support local actors (i.e. smallholder farmers) should include investments in policy capacity to ensure uptake and upscaling of adaptation actions more broadly.</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37" w:name="m_-9074501289396108005__Toc508808185"/>
      <w:r w:rsidRPr="00620A5E">
        <w:rPr>
          <w:rFonts w:ascii="Calibri" w:eastAsia="Times New Roman" w:hAnsi="Calibri"/>
          <w:b/>
          <w:bCs/>
          <w:color w:val="800000"/>
          <w:sz w:val="22"/>
          <w:szCs w:val="22"/>
        </w:rPr>
        <w:t>Climate Risk Vulnerability Assessment to inform sub-national decision making in Vietnam.</w:t>
      </w:r>
      <w:bookmarkEnd w:id="37"/>
    </w:p>
    <w:p w:rsidR="00620A5E" w:rsidRPr="00620A5E" w:rsidRDefault="00620A5E" w:rsidP="00620A5E">
      <w:pPr>
        <w:spacing w:before="100" w:beforeAutospacing="1"/>
        <w:rPr>
          <w:rFonts w:eastAsia="Times New Roman"/>
        </w:rPr>
      </w:pPr>
      <w:proofErr w:type="gramStart"/>
      <w:r w:rsidRPr="00620A5E">
        <w:rPr>
          <w:rFonts w:eastAsia="Times New Roman"/>
        </w:rPr>
        <w:t>Louis Parker, Clement Bourgoin, Armando Martinez-Valle and Peter Läderach, 2018.</w:t>
      </w:r>
      <w:proofErr w:type="gramEnd"/>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lastRenderedPageBreak/>
        <w:t>Abstract: This project was undertaken to develop and implement a pan tropical Climate Risk Vulnerability Assessment (CRVA) that can identify through an agricultural lens and at a fine resolution which parts of the country are most vulnerable to climate change. The CRVA is adaptable to the specific national context and also flexible to data limitations. Based on the academic literature and the latest crop and climate models we aim to provide a robust and repeatable methodology. We conceptualise vulnerability as the combination of the sensitivity of the major food security crops to climate change, the exposure of the population to natural hazards and the potential for the population to respond (Adaptive Capacity). We have applied the CRVA to Vietnam and have mapped the hotspots of climate change vulnerability and identified the underlying driving indicators. The Mekong delta is a region we identified as vulnerable, as over 95% of the area is characterized by an overall decrease of climatic suitability for rice, combined with exposure to flooding, sea level rise and drought. Nonetheless, the delta is marked by relatively high adaptive capacity due to developed infrastructure, relatively high organisational capacity, education and relatively low levels of inequality (GINI).</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27"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38" w:name="m_-9074501289396108005__Toc508808186"/>
      <w:r w:rsidRPr="00620A5E">
        <w:rPr>
          <w:rFonts w:ascii="Calibri" w:eastAsia="Times New Roman" w:hAnsi="Calibri"/>
          <w:b/>
          <w:bCs/>
          <w:color w:val="800000"/>
          <w:sz w:val="22"/>
          <w:szCs w:val="22"/>
        </w:rPr>
        <w:t>Multi-scale assessment of social vulnerability to climate change: An empirical study in coastal Vietnam.</w:t>
      </w:r>
      <w:bookmarkEnd w:id="38"/>
    </w:p>
    <w:p w:rsidR="00620A5E" w:rsidRPr="00620A5E" w:rsidRDefault="00620A5E" w:rsidP="00620A5E">
      <w:pPr>
        <w:spacing w:before="100" w:beforeAutospacing="1"/>
        <w:rPr>
          <w:rFonts w:eastAsia="Times New Roman"/>
        </w:rPr>
      </w:pPr>
      <w:r w:rsidRPr="00620A5E">
        <w:rPr>
          <w:rFonts w:eastAsia="Times New Roman"/>
        </w:rPr>
        <w:t xml:space="preserve">Lam Thi Mai Huynh and Lindsay C. Stringer. </w:t>
      </w:r>
      <w:proofErr w:type="gramStart"/>
      <w:r w:rsidRPr="00620A5E">
        <w:rPr>
          <w:rFonts w:eastAsia="Times New Roman"/>
        </w:rPr>
        <w:t>Climate Risk Management, 2018.</w:t>
      </w:r>
      <w:proofErr w:type="gramEnd"/>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Climate change poses significant threats to the livelihoods of people living in coastal areas, especially in the developing world. There is a critical need to assess vulnerability to inform both scientific debates and policy makers in facilitating adaptation and coping strategies at different scales. This study advances existing approaches to assessing vulnerability by focusing on both household and collective scales in a coastal district in Vietnam: Ngu Hanh Son district. A mixed-method approach was used including 100 household questionnaires, 12 key informant interviews and data from direct observations. At household scale, results indicate large variation in the degree of vulnerability to climate change among households in the same agro-climate zone. These differences are attributable to variations in socio-economic household characteristics and ability to access livelihood assets. Diversifying livelihoods and reducing poverty are important in contributing to the resilience of households. At a collective scale, qualitative data indicates a lack of multi-directional flows of information and highlights gaps in the current governance system. Findings suggest the need to bridge the governance gaps and establish an effective communication system to reduce collective vulnerability in the district. Findings also highlight the need to promote social equity, equality and democracy in formulating climate policies in an effort to reduce the overall vulnerability to climate change.</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39" w:name="m_-9074501289396108005__Toc508808187"/>
      <w:proofErr w:type="gramStart"/>
      <w:r w:rsidRPr="00620A5E">
        <w:rPr>
          <w:rFonts w:ascii="Calibri" w:eastAsia="Times New Roman" w:hAnsi="Calibri"/>
          <w:b/>
          <w:bCs/>
          <w:color w:val="800000"/>
          <w:sz w:val="22"/>
          <w:szCs w:val="22"/>
        </w:rPr>
        <w:lastRenderedPageBreak/>
        <w:t>A Review of the Integrated Effects of Changing Climate, Land Use, and Dams on Mekong River Hydrology.</w:t>
      </w:r>
      <w:bookmarkEnd w:id="39"/>
      <w:proofErr w:type="gramEnd"/>
    </w:p>
    <w:p w:rsidR="00620A5E" w:rsidRPr="00620A5E" w:rsidRDefault="00620A5E" w:rsidP="00620A5E">
      <w:pPr>
        <w:spacing w:before="100" w:beforeAutospacing="1"/>
        <w:rPr>
          <w:rFonts w:eastAsia="Times New Roman"/>
        </w:rPr>
      </w:pPr>
      <w:r w:rsidRPr="00620A5E">
        <w:rPr>
          <w:rFonts w:eastAsia="Times New Roman"/>
        </w:rPr>
        <w:t xml:space="preserve">Yadu Pokhrel, Mateo Burbano, Jacob Roush, Hyunwoo Kang, Venkataramana Sridhar and others. </w:t>
      </w:r>
      <w:proofErr w:type="gramStart"/>
      <w:r w:rsidRPr="00620A5E">
        <w:rPr>
          <w:rFonts w:eastAsia="Times New Roman"/>
        </w:rPr>
        <w:t>Water, 2018, volume 10, number 3, p. 266.</w:t>
      </w:r>
      <w:proofErr w:type="gramEnd"/>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28" w:tgtFrame="_blank" w:history="1">
        <w:r w:rsidRPr="00620A5E">
          <w:rPr>
            <w:rFonts w:eastAsia="Times New Roman"/>
            <w:color w:val="0000FF"/>
            <w:u w:val="single"/>
          </w:rPr>
          <w:t>http://www.mdpi.com/2073-4441/10/3/266</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The ongoing and proposed construction of large-scale hydropower dams in the Mekong river basin is a subject of intense debate and growing international concern due to the unprecedented and potentially irreversible impacts these dams are likely to have on the hydrological, agricultural, and ecological systems across the basin. Studies have shown that some of the dams built in the tributaries and the main stem of the upper Mekong have already caused basin-wide impacts by altering the magnitude and seasonality of flows, blocking sediment transport, affecting fisheries and livelihoods of downstream inhabitants, and changing the flood pulse to the Tonle Sap Lake. There are hundreds of additional dams planned for the near future that would result in further changes, potentially causing permanent damage to the highly productive agricultural systems and fisheries, as well as the riverine and floodplain ecosystems. Several studies have examined the potential impacts of existing and planned dams but the integrated effects of the dams when combined with the adverse hydrologic consequences of climate change remain largely unknown. Here, we provide a detailed review of the existing literature on the changes in climate, land use, and dam construction and the resulting impacts on hydrological, agricultural, and ecological systems across the Mekong. The review provides a basis to better understand the effects of climate change and accelerating human water management activities on the coupled hydrological-agricultural-ecological systems, and identifies existing challenges to study the region’s Water, Energy, and Food (WEF) nexus with emphasis on the influence of future dams and projected climate change. In the last section, we synthesize the results and highlight the urgent need to develop integrated models to holistically study the coupled natural-human systems across the basin that account for the impacts of climate change and water infrastructure development. This review provides a framework for future research in the Mekong, including studies that integrate hydrological, agricultural, and ecological modeling systems.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29"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40" w:name="m_-9074501289396108005__Toc508808188"/>
      <w:r w:rsidRPr="00620A5E">
        <w:rPr>
          <w:rFonts w:ascii="Calibri" w:eastAsia="Times New Roman" w:hAnsi="Calibri"/>
          <w:b/>
          <w:bCs/>
          <w:color w:val="800000"/>
          <w:sz w:val="22"/>
          <w:szCs w:val="22"/>
        </w:rPr>
        <w:t>South-East Asian Ricardian Studies: Bangladesh, Sri Lanka, Thailand, and Vietnam.</w:t>
      </w:r>
      <w:bookmarkEnd w:id="40"/>
    </w:p>
    <w:p w:rsidR="00620A5E" w:rsidRPr="00620A5E" w:rsidRDefault="00620A5E" w:rsidP="00620A5E">
      <w:pPr>
        <w:spacing w:before="100" w:beforeAutospacing="1"/>
        <w:rPr>
          <w:rFonts w:eastAsia="Times New Roman"/>
        </w:rPr>
      </w:pPr>
      <w:r w:rsidRPr="00620A5E">
        <w:rPr>
          <w:rFonts w:eastAsia="Times New Roman"/>
        </w:rPr>
        <w:t>Babatunde O. Abidoye, Robert Mendelsohn, Sultan Ahmed, Selim Amanullah, Chanakod Chasidpon and others. Climate Change Economics, 2017, volume 8, number 3.</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lastRenderedPageBreak/>
        <w:t>Abstract: Bangladesh, Sri Lanka, Thailand, and Vietnam each conducted a Ricardian analysis of crop net revenue (NR) in their country. The countries defined seasons slightly differently depending on their monsoon and dry periods. They also sometimes included slightly different variables in their regressions. The countries are small so that the climate results are often insignificant. However, the Ricardian model does predict near term damage in Bangladesh in the CanESM climate scenario and near and far term damage in Thailand in the CMCC climate scenario.</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41" w:name="m_-9074501289396108005__Toc508808189"/>
      <w:r w:rsidRPr="00620A5E">
        <w:rPr>
          <w:rFonts w:ascii="Calibri" w:eastAsia="Times New Roman" w:hAnsi="Calibri"/>
          <w:b/>
          <w:bCs/>
          <w:color w:val="800000"/>
          <w:sz w:val="22"/>
          <w:szCs w:val="22"/>
        </w:rPr>
        <w:t>Assessment of Tangible Direct Flood Damage Using a Spatial Analysis Approach under the Effects of Climate Change: Case Study in an Urban Watershed in Hanoi, Vietnam.</w:t>
      </w:r>
      <w:bookmarkEnd w:id="41"/>
    </w:p>
    <w:p w:rsidR="00620A5E" w:rsidRPr="00620A5E" w:rsidRDefault="00620A5E" w:rsidP="00620A5E">
      <w:pPr>
        <w:spacing w:before="100" w:beforeAutospacing="1"/>
        <w:rPr>
          <w:rFonts w:eastAsia="Times New Roman"/>
        </w:rPr>
      </w:pPr>
      <w:proofErr w:type="gramStart"/>
      <w:r w:rsidRPr="00620A5E">
        <w:rPr>
          <w:rFonts w:eastAsia="Times New Roman"/>
        </w:rPr>
        <w:t>Mohammed Kefi, Binaya K. Mishra, Pankaj Kumar, Yoshifumi Masago and Kensuke Fukushi.</w:t>
      </w:r>
      <w:proofErr w:type="gramEnd"/>
      <w:r w:rsidRPr="00620A5E">
        <w:rPr>
          <w:rFonts w:eastAsia="Times New Roman"/>
        </w:rPr>
        <w:t xml:space="preserve"> ISPRS international journal of geo-information, 2018, volume 7, number 1.</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Due to climate change, the frequency and intensity of Hydro-Meteorological disasters, such as floods, are increasing. Therefore, the main purpose of this work is to assess tangible future flood damage in the urban watershed of the To Lich River in Hanoi, Vietnam. An approach based on spatial analysis, which requires the integration of several types of data related to flood characteristics that include depth, in particular, land-use classes, property values, and damage rates, is applied for the analysis. To simulate the future scenarios of flooding, the effects of climate change and land-use changes are estimated for 2030. Additionally, two scenarios based on the implementation of flood control measures are analyzed to demonstrate the effect of adaptation strategies. The findings show that climate change combined with the expansion of built-up areas increases the vulnerability of urban areas to flooding and economic damage. The results also reveal that the impacts of climate change will increase the total damage from floods by 26%. However, appropriate flood mitigation will be helpful in reducing the impacts of losses from floods by approximately 8% with the restoration of lakes and by approximately 29% with the implementation of water-sensitive urban design (WSUD). This study will be useful in helping to identify and map flood-prone areas at local and regional scales, which can lead to the detection and prioritization of exposed areas for appropriate countermeasures in a timely manner. In addition, the quantification of flood damage can be an important indicator to enhance the awareness of local decision-makers on improving the efficiency of regional flood risk reduction strategies.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30"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42" w:name="m_-9074501289396108005__Toc508808190"/>
      <w:proofErr w:type="gramStart"/>
      <w:r w:rsidRPr="00620A5E">
        <w:rPr>
          <w:rFonts w:ascii="Calibri" w:eastAsia="Times New Roman" w:hAnsi="Calibri"/>
          <w:b/>
          <w:bCs/>
          <w:color w:val="800000"/>
          <w:sz w:val="22"/>
          <w:szCs w:val="22"/>
        </w:rPr>
        <w:t>Evidence that earthquakes have been triggered by reservoir in the Song Tranh 2 region, Vietnam.</w:t>
      </w:r>
      <w:bookmarkEnd w:id="42"/>
      <w:proofErr w:type="gramEnd"/>
    </w:p>
    <w:p w:rsidR="00620A5E" w:rsidRPr="00620A5E" w:rsidRDefault="00620A5E" w:rsidP="00620A5E">
      <w:pPr>
        <w:spacing w:before="100" w:beforeAutospacing="1"/>
        <w:rPr>
          <w:rFonts w:eastAsia="Times New Roman"/>
        </w:rPr>
      </w:pPr>
      <w:r w:rsidRPr="00620A5E">
        <w:rPr>
          <w:rFonts w:eastAsia="Times New Roman"/>
        </w:rPr>
        <w:t xml:space="preserve">Thai Anh Tuan, N. Purnachandra Rao, Kalpna Gahalaut, Cao Dinh Trong, Le Van Dung and others. </w:t>
      </w:r>
      <w:proofErr w:type="gramStart"/>
      <w:r w:rsidRPr="00620A5E">
        <w:rPr>
          <w:rFonts w:eastAsia="Times New Roman"/>
        </w:rPr>
        <w:t>Journal of Seismology, 2017, volume 21, number 5, pp. 1131-1143.</w:t>
      </w:r>
      <w:proofErr w:type="gramEnd"/>
    </w:p>
    <w:p w:rsidR="00620A5E" w:rsidRPr="00620A5E" w:rsidRDefault="00620A5E" w:rsidP="00620A5E">
      <w:pPr>
        <w:spacing w:before="100" w:beforeAutospacing="1"/>
        <w:rPr>
          <w:rFonts w:eastAsia="Times New Roman"/>
        </w:rPr>
      </w:pPr>
      <w:r w:rsidRPr="00620A5E">
        <w:rPr>
          <w:rFonts w:eastAsia="Times New Roman"/>
        </w:rPr>
        <w:lastRenderedPageBreak/>
        <w:t> </w:t>
      </w:r>
    </w:p>
    <w:p w:rsidR="00620A5E" w:rsidRPr="00620A5E" w:rsidRDefault="00620A5E" w:rsidP="00620A5E">
      <w:pPr>
        <w:spacing w:before="100" w:beforeAutospacing="1"/>
        <w:rPr>
          <w:rFonts w:eastAsia="Times New Roman"/>
        </w:rPr>
      </w:pPr>
      <w:r w:rsidRPr="00620A5E">
        <w:rPr>
          <w:rFonts w:eastAsia="Times New Roman"/>
        </w:rPr>
        <w:t>Abstract: In the Song Tranh 2 (ST2) hydropower reservoir located in the Quang Nam province, Central Vietnam, earthquakes started occurring soon after impoundment of the reservoir in late 2010. Earthquakes continue to occur in the region, and two earthquakes of M 4.6 and 4.7 on October 22, 2012 and November 15, 2012, respectively, have been reported (Trieu et al. 2014; Giang et al. 2015) in the vicinity of the reservoir. In the present study, b-value has been estimated, and focal mechanism solutions have been computed for the first time using moment tensor inversion approach. Also, the influence of impoundment of reservoir on the occurrence of earthquakes has been computed for the ST2 region based on Coulomb stress. A quality data set of 595 earthquakes recorded for the period of October 2012 to April 2014 at ten stations of the seismic network operated by the Institute of Geophysics (IGP) has been used to calculate b-values for the northern and southern seismicity clusters of the region. In general, the b-values associated with reservoir-triggered seismicity (RTS) are found to be higher than the regional b-values in the frequency-magnitude relation of earthquakes. For the ST2 region, it is found that the b-values for the northern and southern clusters are 0.94 ± 0.04 and 0.90 ± 0.04, respectively. Focal mechanism solutions obtained for the two earthquakes close to the reservoir have a right-lateral strike-slip mechanism, with the preferred planes trending NW-SE. These results are concurrent with the orientation of the nearby local surface faults, which we confirm as the active faults in this region. Influence of the stresses due to reservoir water load on the local seismicity is computed based on the obtained focal mechanism by using the concept of fault stability. It is found that most of the earthquakes occur in the positive Coulomb stress region, which shows the influence of reservoir impoundment on earthquake occurrence in the vicinity. Our results suggest that the local earthquakes are triggered by the impoundment of the ST2 reservoir.</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43" w:name="m_-9074501289396108005__Toc508808191"/>
      <w:r w:rsidRPr="00620A5E">
        <w:rPr>
          <w:rFonts w:ascii="Calibri" w:eastAsia="Times New Roman" w:hAnsi="Calibri"/>
          <w:b/>
          <w:bCs/>
          <w:color w:val="800000"/>
          <w:sz w:val="22"/>
          <w:szCs w:val="22"/>
        </w:rPr>
        <w:t>Flood Risk Assessment: A View of Climate Change Impact at Vu Gia Thu Bon Catchment, Vietnam.</w:t>
      </w:r>
      <w:bookmarkEnd w:id="43"/>
    </w:p>
    <w:p w:rsidR="00620A5E" w:rsidRPr="00620A5E" w:rsidRDefault="00620A5E" w:rsidP="00620A5E">
      <w:pPr>
        <w:spacing w:before="100" w:beforeAutospacing="1"/>
        <w:rPr>
          <w:rFonts w:eastAsia="Times New Roman"/>
        </w:rPr>
      </w:pPr>
      <w:r w:rsidRPr="00620A5E">
        <w:rPr>
          <w:rFonts w:eastAsia="Times New Roman"/>
        </w:rPr>
        <w:t xml:space="preserve">Ngoc Duong </w:t>
      </w:r>
      <w:proofErr w:type="gramStart"/>
      <w:r w:rsidRPr="00620A5E">
        <w:rPr>
          <w:rFonts w:eastAsia="Times New Roman"/>
        </w:rPr>
        <w:t>Vo</w:t>
      </w:r>
      <w:proofErr w:type="gramEnd"/>
      <w:r w:rsidRPr="00620A5E">
        <w:rPr>
          <w:rFonts w:eastAsia="Times New Roman"/>
        </w:rPr>
        <w:t xml:space="preserve"> and Philippe Gourbesville, Springer Singapore, Singapore, 2018.</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Vietnam is located in the region of the Southeast Asia monsoon. Most of the </w:t>
      </w:r>
      <w:proofErr w:type="gramStart"/>
      <w:r w:rsidRPr="00620A5E">
        <w:rPr>
          <w:rFonts w:eastAsia="Times New Roman"/>
        </w:rPr>
        <w:t>population work</w:t>
      </w:r>
      <w:proofErr w:type="gramEnd"/>
      <w:r w:rsidRPr="00620A5E">
        <w:rPr>
          <w:rFonts w:eastAsia="Times New Roman"/>
        </w:rPr>
        <w:t xml:space="preserve"> in agriculture and inhabitants essentially concentrate on the coastal plain, Vietnam is one of the countries most heavily affected by the consequences of climate change. For these reasons, predicting the potential damages due to extreme flood events, especially under climate change impact is mighty necessary for the coastal area in this country. This paper will present the potential risk maps in Vu Gia Thu Bon catchment, the largest river system in Viet Nam central. These flood risk maps were built with tree GCMs under A2 scenario at the end of the twenty-first century by overlapping the flood hazard and land use map in 30 m resolution. The result is hoped to provide adequate scientific evidence to help local authority make suitable strategies for adapting with the variation of climate in the future.File Attachments]|.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31"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lastRenderedPageBreak/>
        <w:t> </w:t>
      </w:r>
    </w:p>
    <w:p w:rsidR="00620A5E" w:rsidRPr="00620A5E" w:rsidRDefault="00620A5E" w:rsidP="00620A5E">
      <w:pPr>
        <w:outlineLvl w:val="1"/>
        <w:rPr>
          <w:rFonts w:eastAsia="Times New Roman"/>
          <w:b/>
          <w:bCs/>
          <w:sz w:val="36"/>
          <w:szCs w:val="36"/>
        </w:rPr>
      </w:pPr>
      <w:bookmarkStart w:id="44" w:name="m_-9074501289396108005__Toc508808192"/>
      <w:r w:rsidRPr="00620A5E">
        <w:rPr>
          <w:rFonts w:ascii="Calibri" w:eastAsia="Times New Roman" w:hAnsi="Calibri"/>
          <w:b/>
          <w:bCs/>
          <w:color w:val="800000"/>
          <w:sz w:val="22"/>
          <w:szCs w:val="22"/>
        </w:rPr>
        <w:t>Managing flood risks in the Mekong Delta: How to address emerging challenges under climate change and socioeconomic developments.</w:t>
      </w:r>
      <w:bookmarkEnd w:id="44"/>
    </w:p>
    <w:p w:rsidR="00620A5E" w:rsidRPr="00620A5E" w:rsidRDefault="00620A5E" w:rsidP="00620A5E">
      <w:pPr>
        <w:spacing w:before="100" w:beforeAutospacing="1"/>
        <w:rPr>
          <w:rFonts w:eastAsia="Times New Roman"/>
        </w:rPr>
      </w:pPr>
      <w:r w:rsidRPr="00620A5E">
        <w:rPr>
          <w:rFonts w:eastAsia="Times New Roman"/>
        </w:rPr>
        <w:t xml:space="preserve">Long Phi Hoang, Robbert Biesbroek, Van Pham Dang Tri, Matti Kummu, Michelle T H van Vliet and others. </w:t>
      </w:r>
      <w:proofErr w:type="gramStart"/>
      <w:r w:rsidRPr="00620A5E">
        <w:rPr>
          <w:rFonts w:eastAsia="Times New Roman"/>
        </w:rPr>
        <w:t>Ambio, 2018.</w:t>
      </w:r>
      <w:proofErr w:type="gramEnd"/>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Climate change and accelerating socioeconomic developments increasingly challenge flood-risk management in the Vietnamese Mekong River Delta-a typical large, economically dynamic and highly vulnerable delta. This study identifies and addresses the emerging challenges for flood-risk management. Furthermore, we identify and analyse response solutions, focusing on meaningful configurations of the individual solutions and how they can be tailored to specific challenges using expert surveys, content analysis techniques and statistical inferences. Our findings show that the challenges for flood-risk management are diverse, but critical challenges predominantly arise from the current governance and institutional settings. The top-three challenges include weak collaboration, conflicting management objectives and low responsiveness to new issues. We identified 114 reported solutions and developed six flood management strategies that are tailored to specific challenges. We conclude that the current technology-centric flood management approach is insufficient given the rapid socioecological changes. This approach therefore should be adapted towards a more balanced management configuration where technical and infrastructural measures are combined with institutional and governance resolutions. Insights from this study contribute to the emerging repertoire of contemporary flood management solutions, especially through their configurations and tailoring to specific challenges.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45" w:name="m_-9074501289396108005__Toc508808193"/>
      <w:proofErr w:type="gramStart"/>
      <w:r w:rsidRPr="00620A5E">
        <w:rPr>
          <w:rFonts w:ascii="Calibri" w:eastAsia="Times New Roman" w:hAnsi="Calibri"/>
          <w:b/>
          <w:bCs/>
          <w:color w:val="800000"/>
          <w:sz w:val="22"/>
          <w:szCs w:val="22"/>
        </w:rPr>
        <w:t>Analysis of recycling structures for e-waste in Vietnam.</w:t>
      </w:r>
      <w:bookmarkEnd w:id="45"/>
      <w:proofErr w:type="gramEnd"/>
    </w:p>
    <w:p w:rsidR="00620A5E" w:rsidRPr="00620A5E" w:rsidRDefault="00620A5E" w:rsidP="00620A5E">
      <w:pPr>
        <w:spacing w:before="100" w:beforeAutospacing="1"/>
        <w:rPr>
          <w:rFonts w:eastAsia="Times New Roman"/>
        </w:rPr>
      </w:pPr>
      <w:proofErr w:type="gramStart"/>
      <w:r w:rsidRPr="00620A5E">
        <w:rPr>
          <w:rFonts w:eastAsia="Times New Roman"/>
        </w:rPr>
        <w:t>Chung Duc Tran and Stefan Petrus Salhofer.</w:t>
      </w:r>
      <w:proofErr w:type="gramEnd"/>
      <w:r w:rsidRPr="00620A5E">
        <w:rPr>
          <w:rFonts w:eastAsia="Times New Roman"/>
        </w:rPr>
        <w:t xml:space="preserve"> </w:t>
      </w:r>
      <w:proofErr w:type="gramStart"/>
      <w:r w:rsidRPr="00620A5E">
        <w:rPr>
          <w:rFonts w:eastAsia="Times New Roman"/>
        </w:rPr>
        <w:t>Journal of Material Cycles and Waste Management, 2018, volume 20, number 1.</w:t>
      </w:r>
      <w:proofErr w:type="gramEnd"/>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E-waste management in Vietnam poses real challenges such as the lack of specific e-waste legislation, the strong involvement of “craft villages” and the missing of monitoring data. Many issues (e.g., pollution level, generated waste, health of workers and resident living at recycling sites) lead to the limited access to these craft villages. Thus, there is no comprehensive picture on e-waste management in Vietnam available today. This research focuses on the current situation of e-waste management. Sources of e-waste, collection and treatment in Vietnam are investigated by utilizing most available sources of information (published journals, unpublished works from projects and reports from institutes, ministry) together with the interviewed data from experts, collectors, workers and especially, biggest traders in the field. Based on this information, the processes applied in Vietnam, both in the formal and informal sector, have been analyzed systematically in terms of inputs, outputs, potential emissions and related risks for </w:t>
      </w:r>
      <w:r w:rsidRPr="00620A5E">
        <w:rPr>
          <w:rFonts w:eastAsia="Times New Roman"/>
        </w:rPr>
        <w:lastRenderedPageBreak/>
        <w:t>workers. From these aspects, a comparison in terms of legal frameworks, collection and treatment at both formal and informal sector between Vietnam and other countries in Asian region was undertaken. Thus, major challenges of e-waste management and relatively comprehensive image of e-waste management and treatment in Vietnam have been identified.</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32"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46" w:name="m_-9074501289396108005__Toc508808194"/>
      <w:r w:rsidRPr="00620A5E">
        <w:rPr>
          <w:rFonts w:ascii="Calibri" w:eastAsia="Times New Roman" w:hAnsi="Calibri"/>
          <w:b/>
          <w:bCs/>
          <w:color w:val="800000"/>
          <w:sz w:val="22"/>
          <w:szCs w:val="22"/>
        </w:rPr>
        <w:t>Improved rice residue burning emissions estimates: Accounting for practice-specific emission factors in air pollution assessments of Vietnam.</w:t>
      </w:r>
      <w:bookmarkEnd w:id="46"/>
    </w:p>
    <w:p w:rsidR="00620A5E" w:rsidRPr="00620A5E" w:rsidRDefault="00620A5E" w:rsidP="00620A5E">
      <w:pPr>
        <w:spacing w:before="100" w:beforeAutospacing="1"/>
        <w:rPr>
          <w:rFonts w:eastAsia="Times New Roman"/>
        </w:rPr>
      </w:pPr>
      <w:proofErr w:type="gramStart"/>
      <w:r w:rsidRPr="00620A5E">
        <w:rPr>
          <w:rFonts w:eastAsia="Times New Roman"/>
        </w:rPr>
        <w:t>Kristofer Lasko and Krishna Vadrevu.</w:t>
      </w:r>
      <w:proofErr w:type="gramEnd"/>
      <w:r w:rsidRPr="00620A5E">
        <w:rPr>
          <w:rFonts w:eastAsia="Times New Roman"/>
        </w:rPr>
        <w:t xml:space="preserve"> Environ Pollut, 2018, volume 236, pp. 795-806.</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In Southeast Asia and Vietnam, rice residues are routinely burned after the harvest to prepare fields for the next season. Specific to Vietnam, the two prevalent burning practices include: a). piling the residues after hand harvesting; b). burning the residues without piling, after machine harvesting. In this study, we synthesized field and laboratory studies from the literature on rice residue burning emission factors for PM2.5. We found significant differences in the resulting burning-practice specific emission factors, with </w:t>
      </w:r>
      <w:proofErr w:type="gramStart"/>
      <w:r w:rsidRPr="00620A5E">
        <w:rPr>
          <w:rFonts w:eastAsia="Times New Roman"/>
        </w:rPr>
        <w:t>16.9gkg(</w:t>
      </w:r>
      <w:proofErr w:type="gramEnd"/>
      <w:r w:rsidRPr="00620A5E">
        <w:rPr>
          <w:rFonts w:eastAsia="Times New Roman"/>
        </w:rPr>
        <w:t>-2)(+/-6.9) for pile burning and 8.8gkg(-2)(+/-3.5) for non-pile burning. We calculated burning-practice specific emissions based on rice area data, region-specific fuel-loading factors, combined emission factors, and estimates of burning from the literature. Our results for year 2015 estimate 180Gg of PM2.5 result from the pile burning method and 130Gg result from non-pile burning method, with the most-likely current emission scenario of 150Gg PM2.5 emissions for Vietnam. For comparison purposes, we calculated emissions using generalized agricultural emission factors employed in global biomass burning studies. These results estimate 80Gg PM2.5, which is only 44% of the pile burning-based estimates, suggesting underestimation in previous studies. We compare our emissions to an existing all-combustion sources inventory, results show emissions account for 14-18% of Vietnam's total PM2.5 depending on burning practice. Within the highly-urbanized and cloud-covered Hanoi Capital region (HCR), we use rice area from Sentinel-1A to derive spatially-explicit emissions and indirectly estimate residue burning dates. Results from HYSPLIT back-trajectory analysis stratified by season show autumn has most emission trajectories originating in the North, while spring has most originating in the South, suggesting the latter may have bigger impact on air quality. From these results, we highlight locations where emission mitigation efforts could be focused and suggest measures for pollutant mitigation. Our study demonstrates the need to account for emissions variation due to different burning practices.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47" w:name="m_-9074501289396108005__Toc508808195"/>
      <w:r w:rsidRPr="00620A5E">
        <w:rPr>
          <w:rFonts w:ascii="Calibri" w:eastAsia="Times New Roman" w:hAnsi="Calibri"/>
          <w:b/>
          <w:bCs/>
          <w:color w:val="800000"/>
          <w:sz w:val="22"/>
          <w:szCs w:val="22"/>
        </w:rPr>
        <w:t>Paraquat in Surface Water of Some Streams in Mai Chau Province, the Northern Vietnam: Concentrations, Profiles, and Human Risk Assessments.</w:t>
      </w:r>
      <w:bookmarkEnd w:id="47"/>
    </w:p>
    <w:p w:rsidR="00620A5E" w:rsidRPr="00620A5E" w:rsidRDefault="00620A5E" w:rsidP="00620A5E">
      <w:pPr>
        <w:spacing w:before="100" w:beforeAutospacing="1"/>
        <w:rPr>
          <w:rFonts w:eastAsia="Times New Roman"/>
        </w:rPr>
      </w:pPr>
      <w:proofErr w:type="gramStart"/>
      <w:r w:rsidRPr="00620A5E">
        <w:rPr>
          <w:rFonts w:eastAsia="Times New Roman"/>
        </w:rPr>
        <w:lastRenderedPageBreak/>
        <w:t>Nguyen Thi Hue, Thi Phuong Mai Nguyen, Hoang Nam and Nguyen Hoang Tung.</w:t>
      </w:r>
      <w:proofErr w:type="gramEnd"/>
      <w:r w:rsidRPr="00620A5E">
        <w:rPr>
          <w:rFonts w:eastAsia="Times New Roman"/>
        </w:rPr>
        <w:t xml:space="preserve"> </w:t>
      </w:r>
      <w:proofErr w:type="gramStart"/>
      <w:r w:rsidRPr="00620A5E">
        <w:rPr>
          <w:rFonts w:eastAsia="Times New Roman"/>
        </w:rPr>
        <w:t>Hindawi Journal of Chemistry, 2018.</w:t>
      </w:r>
      <w:proofErr w:type="gramEnd"/>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33" w:tgtFrame="_blank" w:history="1">
        <w:r w:rsidRPr="00620A5E">
          <w:rPr>
            <w:rFonts w:eastAsia="Times New Roman"/>
            <w:color w:val="0000FF"/>
            <w:u w:val="single"/>
          </w:rPr>
          <w:t>http://downloads.hindawi.com/journals/jchem/2018/8521012.pdf</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The concentrations and profiles of paraquat, a kind of herbicide, were studied in water samples taken from a stream flowing through five villages of Mai Chau province, the Northern Vietnam, during dry and rainy seasons. In this study, paraquat was found at almost the sampling sites and showed an average concentration for paraquat to be </w:t>
      </w:r>
      <w:proofErr w:type="gramStart"/>
      <w:r w:rsidRPr="00620A5E">
        <w:rPr>
          <w:rFonts w:eastAsia="Times New Roman"/>
        </w:rPr>
        <w:t>30.69 ttg/L</w:t>
      </w:r>
      <w:proofErr w:type="gramEnd"/>
      <w:r w:rsidRPr="00620A5E">
        <w:rPr>
          <w:rFonts w:eastAsia="Times New Roman"/>
        </w:rPr>
        <w:t xml:space="preserve"> and with a maximum of 134.08 ttg/L. The herbicide concentration tended to be the highest on the dry season because of the least rainfall and also the highest evaporation rate of water in the stream. For risk assessment of human health, a hazard index (HI) value was calculated for estimating the risk towards the residents. HQ in the dry and rainy season is from 0.0001 to 0.2448 and from 0.0001 to 0.0279, respectively. The results showed a minimum risk; however, there are concerns toward the danger of long-term exposure to the residents from the stream that could affect their life quality.</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34"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48" w:name="m_-9074501289396108005__Toc508808196"/>
      <w:proofErr w:type="gramStart"/>
      <w:r w:rsidRPr="00620A5E">
        <w:rPr>
          <w:rFonts w:ascii="Calibri" w:eastAsia="Times New Roman" w:hAnsi="Calibri"/>
          <w:b/>
          <w:bCs/>
          <w:color w:val="800000"/>
          <w:sz w:val="22"/>
          <w:szCs w:val="22"/>
        </w:rPr>
        <w:t>Structural analysis of the interrelationship between economic activities and water pollution in Vietnam in the period of 2000–2011.</w:t>
      </w:r>
      <w:bookmarkEnd w:id="48"/>
      <w:proofErr w:type="gramEnd"/>
    </w:p>
    <w:p w:rsidR="00620A5E" w:rsidRPr="00620A5E" w:rsidRDefault="00620A5E" w:rsidP="00620A5E">
      <w:pPr>
        <w:spacing w:before="100" w:beforeAutospacing="1"/>
        <w:rPr>
          <w:rFonts w:eastAsia="Times New Roman"/>
        </w:rPr>
      </w:pPr>
      <w:proofErr w:type="gramStart"/>
      <w:r w:rsidRPr="00620A5E">
        <w:rPr>
          <w:rFonts w:eastAsia="Times New Roman"/>
        </w:rPr>
        <w:t>Hoa Thi Nguyen, Kathleen B. Aviso, Naoya Kojima and Akihiro Tokai.</w:t>
      </w:r>
      <w:proofErr w:type="gramEnd"/>
      <w:r w:rsidRPr="00620A5E">
        <w:rPr>
          <w:rFonts w:eastAsia="Times New Roman"/>
        </w:rPr>
        <w:t xml:space="preserve"> </w:t>
      </w:r>
      <w:proofErr w:type="gramStart"/>
      <w:r w:rsidRPr="00620A5E">
        <w:rPr>
          <w:rFonts w:eastAsia="Times New Roman"/>
        </w:rPr>
        <w:t>Clean Technologies and Environmental Policy, 2018.</w:t>
      </w:r>
      <w:proofErr w:type="gramEnd"/>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Rapid economic growth and poor waste management have left Vietnam with severe water pollution problems. It is thus important to develop a model to evaluate the relationship between economic activities and water pollution to identify water pollution mitigation strategies within the context of economic development. Recent works have demonstrated the effectiveness of the input–output model in analyzing the interplay between the economy and the environment. To comprehensively understand this relationship, the behavior and trend of water pollution during a specified period should be investigated on. The interaction of different economic sectors and its impacts on water pollution should also be analyzed. For the Vietnamese economy, such aspects have not been fully addressed in previous studies. This work thus examines the state of water pollution in Vietnam as indicated by water quality parameters, total suspended solids and biological oxygen demand, with particular attention to the individual contribution of various economic sectors. The period between the years 2000 and 2011 is taken into account in this work. Environmentally extended input–output analysis coupled with vertical integrated coefficient method is used to analyze the interindustry linkages of sectors and to classify sector role as either key sector or pollution puller or pusher. The pollution trend reveals the tremendous </w:t>
      </w:r>
      <w:r w:rsidRPr="00620A5E">
        <w:rPr>
          <w:rFonts w:eastAsia="Times New Roman"/>
        </w:rPr>
        <w:lastRenderedPageBreak/>
        <w:t>increase in total suspended solids from 345,000 tonnes in 2000 to 1,199,000 tonnes in 2011, while the total biological oxygen demand increased from 43,400 tonnes in 2000 to 123,000 tonnes in 2011. Results show that the basic metals industry was the major contributor of total suspended solids, while the food, beverage and tobacco and agriculture, fishery and forestry sectors contributed most to the biological oxygen demand. The results of sectoral linkage evaluation highlight that food, beverage and tobacco and agriculture, fishery and forestry sectors were key sectors for both water quality parameters. These results provide environmental managers and policy maker insights on how to prioritize economic sectors to achieve emission reduction targets.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49" w:name="m_-9074501289396108005__Toc508808197"/>
      <w:proofErr w:type="gramStart"/>
      <w:r w:rsidRPr="00620A5E">
        <w:rPr>
          <w:rFonts w:ascii="Calibri" w:eastAsia="Times New Roman" w:hAnsi="Calibri"/>
          <w:b/>
          <w:bCs/>
          <w:color w:val="800000"/>
          <w:sz w:val="22"/>
          <w:szCs w:val="22"/>
        </w:rPr>
        <w:t>Development of nutrient cycle through agricultural activities of a rural area in the North of Vietnam.</w:t>
      </w:r>
      <w:bookmarkEnd w:id="49"/>
      <w:proofErr w:type="gramEnd"/>
    </w:p>
    <w:p w:rsidR="00620A5E" w:rsidRPr="00620A5E" w:rsidRDefault="00620A5E" w:rsidP="00620A5E">
      <w:pPr>
        <w:spacing w:before="100" w:beforeAutospacing="1"/>
        <w:rPr>
          <w:rFonts w:eastAsia="Times New Roman"/>
        </w:rPr>
      </w:pPr>
      <w:r w:rsidRPr="00620A5E">
        <w:rPr>
          <w:rFonts w:eastAsia="Times New Roman"/>
        </w:rPr>
        <w:t>Do Thu Nga, Ta Thi Tha, Vu Van Tu, Pham Duc Phuc and Hung Nguyen-Viet. Journal of Material Cycles and Waste Management, 2018, volume 20, number 1.</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Material flow analysis (MFA) has been applied to assess the environmental impact of human activities on nutrient flows at the commune scale. This paper reports the assessment of human excreta and animal manure as a nutrient source for paddy fields and fishponds in Hoang Tay commune, Ha Nam province, Vietnam. The quality of MFA model was confirmed through modified uncertainty analysis, then was used to originally quantify and visualize </w:t>
      </w:r>
      <w:proofErr w:type="gramStart"/>
      <w:r w:rsidRPr="00620A5E">
        <w:rPr>
          <w:rFonts w:eastAsia="Times New Roman"/>
        </w:rPr>
        <w:t>the interlinks</w:t>
      </w:r>
      <w:proofErr w:type="gramEnd"/>
      <w:r w:rsidRPr="00620A5E">
        <w:rPr>
          <w:rFonts w:eastAsia="Times New Roman"/>
        </w:rPr>
        <w:t xml:space="preserve"> of livestock with the environmental sanitation and agricultural system in terms of nutrients. Currently, half of the pig manure was collected to the biogas, and the remainders were freely discharged to the commune’s drainage system (25%) or directly reused in the paddy fields (25%). While wastewater in the drainage system was the biggest source of nitrogen (contributed 46%), paddy field was the biggest source of phosphorous (contributed 55%) discharged to the Nhue River, totaling 57 ± 9 ton N and 29 ± 6 ton P, annually. Consequently, mitigation measures for nutrient resource management were proposed, and reducing half of chemical fertilizers applied and reusing all excreta and manure in the paddy fields were the most effective option.</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35"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after="100" w:afterAutospacing="1"/>
        <w:outlineLvl w:val="0"/>
        <w:rPr>
          <w:rFonts w:eastAsia="Times New Roman"/>
          <w:b/>
          <w:bCs/>
          <w:kern w:val="36"/>
          <w:sz w:val="48"/>
          <w:szCs w:val="48"/>
        </w:rPr>
      </w:pPr>
      <w:bookmarkStart w:id="50" w:name="m_-9074501289396108005__Toc508808198"/>
      <w:r w:rsidRPr="00620A5E">
        <w:rPr>
          <w:rFonts w:eastAsia="Times New Roman"/>
          <w:b/>
          <w:bCs/>
          <w:kern w:val="36"/>
          <w:sz w:val="48"/>
          <w:szCs w:val="48"/>
          <w:shd w:val="clear" w:color="auto" w:fill="D3D3D3"/>
        </w:rPr>
        <w:t>Gender issues</w:t>
      </w:r>
      <w:bookmarkEnd w:id="50"/>
      <w:r w:rsidRPr="00620A5E">
        <w:rPr>
          <w:rFonts w:eastAsia="Times New Roman"/>
          <w:b/>
          <w:bCs/>
          <w:kern w:val="36"/>
          <w:sz w:val="48"/>
          <w:szCs w:val="48"/>
          <w:shd w:val="clear" w:color="auto" w:fill="D3D3D3"/>
        </w:rPr>
        <w:t xml:space="preserve"> </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51" w:name="m_-9074501289396108005__Toc508808199"/>
      <w:proofErr w:type="gramStart"/>
      <w:r w:rsidRPr="00620A5E">
        <w:rPr>
          <w:rFonts w:ascii="Calibri" w:eastAsia="Times New Roman" w:hAnsi="Calibri"/>
          <w:b/>
          <w:bCs/>
          <w:color w:val="800000"/>
          <w:sz w:val="22"/>
          <w:szCs w:val="22"/>
        </w:rPr>
        <w:t>Gender Streaming in Vietnam.</w:t>
      </w:r>
      <w:bookmarkEnd w:id="51"/>
      <w:proofErr w:type="gramEnd"/>
    </w:p>
    <w:p w:rsidR="00620A5E" w:rsidRPr="00620A5E" w:rsidRDefault="00620A5E" w:rsidP="00620A5E">
      <w:pPr>
        <w:spacing w:before="100" w:beforeAutospacing="1"/>
        <w:rPr>
          <w:rFonts w:eastAsia="Times New Roman"/>
        </w:rPr>
      </w:pPr>
      <w:proofErr w:type="gramStart"/>
      <w:r w:rsidRPr="00620A5E">
        <w:rPr>
          <w:rFonts w:eastAsia="Times New Roman"/>
        </w:rPr>
        <w:t>Iffat Chowdhury, Hillary Johnson, Aneesh Mannava and Elizaveta Perova.</w:t>
      </w:r>
      <w:proofErr w:type="gramEnd"/>
      <w:r w:rsidRPr="00620A5E">
        <w:rPr>
          <w:rFonts w:eastAsia="Times New Roman"/>
        </w:rPr>
        <w:t xml:space="preserve"> </w:t>
      </w:r>
      <w:proofErr w:type="gramStart"/>
      <w:r w:rsidRPr="00620A5E">
        <w:rPr>
          <w:rFonts w:eastAsia="Times New Roman"/>
        </w:rPr>
        <w:t>World Bank, 2018.</w:t>
      </w:r>
      <w:proofErr w:type="gramEnd"/>
    </w:p>
    <w:p w:rsidR="00620A5E" w:rsidRPr="00620A5E" w:rsidRDefault="00620A5E" w:rsidP="00620A5E">
      <w:pPr>
        <w:spacing w:before="100" w:beforeAutospacing="1"/>
        <w:rPr>
          <w:rFonts w:eastAsia="Times New Roman"/>
        </w:rPr>
      </w:pPr>
      <w:r w:rsidRPr="00620A5E">
        <w:rPr>
          <w:rFonts w:eastAsia="Times New Roman"/>
        </w:rPr>
        <w:lastRenderedPageBreak/>
        <w:t xml:space="preserve">Free full text </w:t>
      </w:r>
      <w:hyperlink r:id="rId36" w:tgtFrame="_blank" w:history="1">
        <w:r w:rsidRPr="00620A5E">
          <w:rPr>
            <w:rFonts w:eastAsia="Times New Roman"/>
            <w:color w:val="0000FF"/>
            <w:u w:val="single"/>
          </w:rPr>
          <w:t>https://openknowledge.worldbank.org/handle/10986/29390</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We examine the gender wage gap in Vietnam and show that a non-trivial part of the gap is associated with occupational sorting. We consider three explanations for why occupational sorting emerges. First, we explore whether occupational sorting is driven by gender differences in preferences for non-monetary characteristics of the jobs. First, we explore whether occupational sorting is driven by gender differences in preferences for non-monetary characteristics of jobs and find that there are indeed differences between the genders in preferences for having a formal contract, insurance, paid leave and shorter hours, which may induce women to forego monetary compensation for these characteristics. Second, we check if occupational sorting among the adult labor force is driven by social norms about gender roles learned and internalized at an early age. To do so we check for evidence of sorting in the aspirations of 12-year-old children by simulating what the gender wage gap would be if boys and girls pursued the occupations they aspire to at 12. And third, for women with higher education, we check if occupational sorting occurs during the school to work transition - if women are less likely to find jobs within their field of study upon graduation. We do not find support for either the second or third hypotheses. Overall, our findings suggest that in Vietnam gender specific preferences for non-monetary job characteristics play a key role in emergence of occupational sorting.</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after="100" w:afterAutospacing="1"/>
        <w:outlineLvl w:val="0"/>
        <w:rPr>
          <w:rFonts w:eastAsia="Times New Roman"/>
          <w:b/>
          <w:bCs/>
          <w:kern w:val="36"/>
          <w:sz w:val="48"/>
          <w:szCs w:val="48"/>
        </w:rPr>
      </w:pPr>
      <w:bookmarkStart w:id="52" w:name="m_-9074501289396108005__Toc508808200"/>
      <w:r w:rsidRPr="00620A5E">
        <w:rPr>
          <w:rFonts w:eastAsia="Times New Roman"/>
          <w:b/>
          <w:bCs/>
          <w:kern w:val="36"/>
          <w:sz w:val="48"/>
          <w:szCs w:val="48"/>
          <w:shd w:val="clear" w:color="auto" w:fill="D3D3D3"/>
        </w:rPr>
        <w:t>Governance</w:t>
      </w:r>
      <w:bookmarkEnd w:id="52"/>
      <w:r w:rsidRPr="00620A5E">
        <w:rPr>
          <w:rFonts w:eastAsia="Times New Roman"/>
          <w:b/>
          <w:bCs/>
          <w:kern w:val="36"/>
          <w:sz w:val="48"/>
          <w:szCs w:val="48"/>
          <w:shd w:val="clear" w:color="auto" w:fill="D3D3D3"/>
        </w:rPr>
        <w:t xml:space="preserve"> </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53" w:name="m_-9074501289396108005__Toc508808201"/>
      <w:r w:rsidRPr="00620A5E">
        <w:rPr>
          <w:rFonts w:ascii="Calibri" w:eastAsia="Times New Roman" w:hAnsi="Calibri"/>
          <w:b/>
          <w:bCs/>
          <w:color w:val="800000"/>
          <w:sz w:val="22"/>
          <w:szCs w:val="22"/>
        </w:rPr>
        <w:t>Public Discourse and Constitutional Change: A Comparison of Vietnam and Indonesia.</w:t>
      </w:r>
      <w:bookmarkEnd w:id="53"/>
    </w:p>
    <w:p w:rsidR="00620A5E" w:rsidRPr="00620A5E" w:rsidRDefault="00620A5E" w:rsidP="00620A5E">
      <w:pPr>
        <w:spacing w:before="100" w:beforeAutospacing="1"/>
        <w:rPr>
          <w:rFonts w:eastAsia="Times New Roman"/>
        </w:rPr>
      </w:pPr>
      <w:r w:rsidRPr="00620A5E">
        <w:rPr>
          <w:rFonts w:eastAsia="Times New Roman"/>
        </w:rPr>
        <w:t>John Gillespie. Asian Journal of Comparative Law</w:t>
      </w:r>
    </w:p>
    <w:p w:rsidR="00620A5E" w:rsidRPr="00620A5E" w:rsidRDefault="00620A5E" w:rsidP="00620A5E">
      <w:pPr>
        <w:spacing w:before="100" w:beforeAutospacing="1"/>
        <w:rPr>
          <w:rFonts w:eastAsia="Times New Roman"/>
        </w:rPr>
      </w:pPr>
      <w:proofErr w:type="gramStart"/>
      <w:r w:rsidRPr="00620A5E">
        <w:rPr>
          <w:rFonts w:eastAsia="Times New Roman"/>
        </w:rPr>
        <w:t>2016, volume 11, pp. 209-218.</w:t>
      </w:r>
      <w:proofErr w:type="gramEnd"/>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37" w:tgtFrame="_blank" w:history="1">
        <w:r w:rsidRPr="00620A5E">
          <w:rPr>
            <w:rFonts w:eastAsia="Times New Roman"/>
            <w:color w:val="0000FF"/>
            <w:u w:val="single"/>
          </w:rPr>
          <w:t>https://www.cambridge.org/core/services/aop-cambridge-core/content/view/B010B6B6308B0840DDF670691F2FD964/S219460781600017Xa.pdf/public-discourse-and-constitutional-change-a-comparison-of-vietnam-and-indonesia.pdf</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This article draws on neo-Habermasian scholarship1 to analyze the interaction between public discourse and constitutional change. It then contrasts constitutional discourse in Vietnam with public discourse that fundamentally changed the Indonesian Constitution after the fall of President Soeharto in 1998. It argues that key preconditions for effective public deliberation are currently absent or constrained in Vietnam, suggesting that only modest constitutional changes are likely until the discursive environment changes. </w:t>
      </w:r>
      <w:proofErr w:type="gramStart"/>
      <w:r w:rsidRPr="00620A5E">
        <w:rPr>
          <w:rFonts w:eastAsia="Times New Roman"/>
        </w:rPr>
        <w:t>[Gillespie-2016.pdf].</w:t>
      </w:r>
      <w:proofErr w:type="gramEnd"/>
    </w:p>
    <w:p w:rsidR="00620A5E" w:rsidRPr="00620A5E" w:rsidRDefault="00620A5E" w:rsidP="00620A5E">
      <w:pPr>
        <w:spacing w:before="100" w:beforeAutospacing="1"/>
        <w:rPr>
          <w:rFonts w:eastAsia="Times New Roman"/>
        </w:rPr>
      </w:pPr>
      <w:r w:rsidRPr="00620A5E">
        <w:rPr>
          <w:rFonts w:eastAsia="Times New Roman"/>
        </w:rPr>
        <w:lastRenderedPageBreak/>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38"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54" w:name="m_-9074501289396108005__Toc508808202"/>
      <w:proofErr w:type="gramStart"/>
      <w:r w:rsidRPr="00620A5E">
        <w:rPr>
          <w:rFonts w:ascii="Calibri" w:eastAsia="Times New Roman" w:hAnsi="Calibri"/>
          <w:b/>
          <w:bCs/>
          <w:color w:val="800000"/>
          <w:sz w:val="22"/>
          <w:szCs w:val="22"/>
        </w:rPr>
        <w:t>Mapping Variation of Civil Society Involvement in EU Trade Agreements: A CSI Index.</w:t>
      </w:r>
      <w:bookmarkEnd w:id="54"/>
      <w:proofErr w:type="gramEnd"/>
    </w:p>
    <w:p w:rsidR="00620A5E" w:rsidRPr="00620A5E" w:rsidRDefault="00620A5E" w:rsidP="00620A5E">
      <w:pPr>
        <w:spacing w:before="100" w:beforeAutospacing="1"/>
        <w:rPr>
          <w:rFonts w:eastAsia="Times New Roman"/>
        </w:rPr>
      </w:pPr>
      <w:proofErr w:type="gramStart"/>
      <w:r w:rsidRPr="00620A5E">
        <w:rPr>
          <w:rFonts w:eastAsia="Times New Roman"/>
        </w:rPr>
        <w:t>Deborah Martens, Lore Van Den Putte, Myriam Oehri and Jan Orbie.</w:t>
      </w:r>
      <w:proofErr w:type="gramEnd"/>
      <w:r w:rsidRPr="00620A5E">
        <w:rPr>
          <w:rFonts w:eastAsia="Times New Roman"/>
        </w:rPr>
        <w:t xml:space="preserve"> European Foreign Affairs Review, 2018, volume 23, number 1.</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Civil society has apparently been granted an important role in the monitoring of the sustainable development chapters in the new generation European Union (EU) trade agreements. While a debate about the role and functioning of these civil society mechanisms is emerging, we lack a profound comparative analysis of the treaty provisions establishing them. In order to address this gap and to map the extent to which civil society is included in the agreements, a Civil Society Involvement (CSI) Index is developed inductively and applied to the ten relevant EU trade agreements. It concludes that although some form of template is used, large variation exists. A distinction is made between three categories of CSI score: high (Canada, Korea), medium (Georgia, Moldova, Vietnam, </w:t>
      </w:r>
      <w:proofErr w:type="gramStart"/>
      <w:r w:rsidRPr="00620A5E">
        <w:rPr>
          <w:rFonts w:eastAsia="Times New Roman"/>
        </w:rPr>
        <w:t>Ukraine</w:t>
      </w:r>
      <w:proofErr w:type="gramEnd"/>
      <w:r w:rsidRPr="00620A5E">
        <w:rPr>
          <w:rFonts w:eastAsia="Times New Roman"/>
        </w:rPr>
        <w:t>), and low (Central America, Singapore, Peru-Colombia, Ecuador). The outcome also reveals interesting nuances within these categories and calls for further research on the rationale for and consequences of this variation.</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55" w:name="m_-9074501289396108005__Toc508808203"/>
      <w:r w:rsidRPr="00620A5E">
        <w:rPr>
          <w:rFonts w:ascii="Calibri" w:eastAsia="Times New Roman" w:hAnsi="Calibri"/>
          <w:b/>
          <w:bCs/>
          <w:color w:val="800000"/>
          <w:sz w:val="22"/>
          <w:szCs w:val="22"/>
        </w:rPr>
        <w:t xml:space="preserve">Transnational Advocacy </w:t>
      </w:r>
      <w:proofErr w:type="gramStart"/>
      <w:r w:rsidRPr="00620A5E">
        <w:rPr>
          <w:rFonts w:ascii="Calibri" w:eastAsia="Times New Roman" w:hAnsi="Calibri"/>
          <w:b/>
          <w:bCs/>
          <w:color w:val="800000"/>
          <w:sz w:val="22"/>
          <w:szCs w:val="22"/>
        </w:rPr>
        <w:t>Without</w:t>
      </w:r>
      <w:proofErr w:type="gramEnd"/>
      <w:r w:rsidRPr="00620A5E">
        <w:rPr>
          <w:rFonts w:ascii="Calibri" w:eastAsia="Times New Roman" w:hAnsi="Calibri"/>
          <w:b/>
          <w:bCs/>
          <w:color w:val="800000"/>
          <w:sz w:val="22"/>
          <w:szCs w:val="22"/>
        </w:rPr>
        <w:t xml:space="preserve"> Northern NGO Partners: Vietnamese NGOs in the HIV/AIDS Sector.</w:t>
      </w:r>
      <w:bookmarkEnd w:id="55"/>
    </w:p>
    <w:p w:rsidR="00620A5E" w:rsidRPr="00620A5E" w:rsidRDefault="00620A5E" w:rsidP="00620A5E">
      <w:pPr>
        <w:spacing w:before="100" w:beforeAutospacing="1"/>
        <w:rPr>
          <w:rFonts w:eastAsia="Times New Roman"/>
        </w:rPr>
      </w:pPr>
      <w:r w:rsidRPr="00620A5E">
        <w:rPr>
          <w:rFonts w:eastAsia="Times New Roman"/>
        </w:rPr>
        <w:t xml:space="preserve">L. Pallas Christopher and Nguyen </w:t>
      </w:r>
      <w:proofErr w:type="gramStart"/>
      <w:r w:rsidRPr="00620A5E">
        <w:rPr>
          <w:rFonts w:eastAsia="Times New Roman"/>
        </w:rPr>
        <w:t>Lan</w:t>
      </w:r>
      <w:proofErr w:type="gramEnd"/>
      <w:r w:rsidRPr="00620A5E">
        <w:rPr>
          <w:rFonts w:eastAsia="Times New Roman"/>
        </w:rPr>
        <w:t>. Nonprofit and Voluntary Sector Quarterly, 2018, p. 0899764018758462.</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Existing scholarship on transnational advocacy can give the impression that low- and middle-income country (</w:t>
      </w:r>
      <w:proofErr w:type="gramStart"/>
      <w:r w:rsidRPr="00620A5E">
        <w:rPr>
          <w:rFonts w:eastAsia="Times New Roman"/>
        </w:rPr>
        <w:t>?Southern</w:t>
      </w:r>
      <w:proofErr w:type="gramEnd"/>
      <w:r w:rsidRPr="00620A5E">
        <w:rPr>
          <w:rFonts w:eastAsia="Times New Roman"/>
        </w:rPr>
        <w:t xml:space="preserve">?) nongovernmental organizations (NGOs) require high-income country (?Northern?) NGO partners to effectively engage actors outside their own state. However, Vietnamese NGOs (VNGOs) have had significant success in their efforts to change the policies and practices of bilateral and multilateral actors toward Vietnam without significant Northern NGO partnership. This article asks how VNGOs have achieved such influence and whether their advocacy effectiveness is likely to be mirrored elsewhere. Drawing on a novel case study of VNGOs in the HIV/AIDS sector, it finds that expertise, credibility, and high organizational capacity have allowed VNGOs to successfully adopt Northern NGOs? </w:t>
      </w:r>
      <w:proofErr w:type="gramStart"/>
      <w:r w:rsidRPr="00620A5E">
        <w:rPr>
          <w:rFonts w:eastAsia="Times New Roman"/>
        </w:rPr>
        <w:t>insider</w:t>
      </w:r>
      <w:proofErr w:type="gramEnd"/>
      <w:r w:rsidRPr="00620A5E">
        <w:rPr>
          <w:rFonts w:eastAsia="Times New Roman"/>
        </w:rPr>
        <w:t xml:space="preserve"> lobbying strategies and implement them independently. While the development of VNGO capacity has been accelerated by the unusual legal environment in Vietnam, we predict that as Southern NGO capacity increases elsewhere, reliance on Northern partners will decrease.</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56" w:name="m_-9074501289396108005__Toc508808204"/>
      <w:r w:rsidRPr="00620A5E">
        <w:rPr>
          <w:rFonts w:ascii="Calibri" w:eastAsia="Times New Roman" w:hAnsi="Calibri"/>
          <w:b/>
          <w:bCs/>
          <w:color w:val="800000"/>
          <w:sz w:val="22"/>
          <w:szCs w:val="22"/>
        </w:rPr>
        <w:lastRenderedPageBreak/>
        <w:t>The Myth of a Centralised Socialist State in Vietnam: What Kind of a Myth?</w:t>
      </w:r>
      <w:bookmarkEnd w:id="56"/>
    </w:p>
    <w:p w:rsidR="00620A5E" w:rsidRPr="00620A5E" w:rsidRDefault="00620A5E" w:rsidP="00620A5E">
      <w:pPr>
        <w:spacing w:before="100" w:beforeAutospacing="1"/>
        <w:rPr>
          <w:rFonts w:eastAsia="Times New Roman"/>
        </w:rPr>
      </w:pPr>
      <w:r w:rsidRPr="00620A5E">
        <w:rPr>
          <w:rFonts w:eastAsia="Times New Roman"/>
        </w:rPr>
        <w:t>Martin Gainsborough. Journal of Current Southeast Asian Affairs, 2017, volume 36, number 3, pp. 119–143.</w:t>
      </w:r>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39" w:tgtFrame="_blank" w:history="1">
        <w:r w:rsidRPr="00620A5E">
          <w:rPr>
            <w:rFonts w:eastAsia="Times New Roman"/>
            <w:color w:val="0000FF"/>
            <w:u w:val="single"/>
          </w:rPr>
          <w:t>http://journals.giga-hamburg.de/index.php/jsaa/article/download/3043/1525</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Through a case study of Vietnam, the article explores the view that there is a tendency to overstate the degree to which there is a coherent central body, namely the state, directing the country. Exploring this myth, it argues that there is a tendency to reify the state, even in writing which is attentive to localism and the diversity of societal actors at play in Vietnamese political life. The article argues that the myth of the central state endures because there are domestic and foreign political interests that depend on it. However, more fundamentally, the myth endures because of the power of the state to colonise our minds such that even when the empirical data does not fit with the idea of the state, we make it fit. The article’s findings have implications for the study of politics far beyond the Vietnamese case.</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40"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after="100" w:afterAutospacing="1"/>
        <w:outlineLvl w:val="0"/>
        <w:rPr>
          <w:rFonts w:eastAsia="Times New Roman"/>
          <w:b/>
          <w:bCs/>
          <w:kern w:val="36"/>
          <w:sz w:val="48"/>
          <w:szCs w:val="48"/>
        </w:rPr>
      </w:pPr>
      <w:bookmarkStart w:id="57" w:name="m_-9074501289396108005__Toc508808205"/>
      <w:r w:rsidRPr="00620A5E">
        <w:rPr>
          <w:rFonts w:eastAsia="Times New Roman"/>
          <w:b/>
          <w:bCs/>
          <w:kern w:val="36"/>
          <w:sz w:val="48"/>
          <w:szCs w:val="48"/>
          <w:shd w:val="clear" w:color="auto" w:fill="D3D3D3"/>
        </w:rPr>
        <w:t>Health care</w:t>
      </w:r>
      <w:bookmarkEnd w:id="57"/>
      <w:r w:rsidRPr="00620A5E">
        <w:rPr>
          <w:rFonts w:eastAsia="Times New Roman"/>
          <w:b/>
          <w:bCs/>
          <w:kern w:val="36"/>
          <w:sz w:val="48"/>
          <w:szCs w:val="48"/>
          <w:shd w:val="clear" w:color="auto" w:fill="D3D3D3"/>
        </w:rPr>
        <w:t xml:space="preserve"> </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58" w:name="m_-9074501289396108005__Toc508808206"/>
      <w:proofErr w:type="gramStart"/>
      <w:r w:rsidRPr="00620A5E">
        <w:rPr>
          <w:rFonts w:ascii="Calibri" w:eastAsia="Times New Roman" w:hAnsi="Calibri"/>
          <w:b/>
          <w:bCs/>
          <w:color w:val="800000"/>
          <w:sz w:val="22"/>
          <w:szCs w:val="22"/>
        </w:rPr>
        <w:t>Comparison of the Determinants of the Health Service System and the Health Status of the People in the Greater Mekong Subregion (GMS).</w:t>
      </w:r>
      <w:bookmarkEnd w:id="58"/>
      <w:proofErr w:type="gramEnd"/>
    </w:p>
    <w:p w:rsidR="00620A5E" w:rsidRPr="00620A5E" w:rsidRDefault="00620A5E" w:rsidP="00620A5E">
      <w:pPr>
        <w:spacing w:before="100" w:beforeAutospacing="1"/>
        <w:rPr>
          <w:rFonts w:eastAsia="Times New Roman"/>
        </w:rPr>
      </w:pPr>
      <w:proofErr w:type="gramStart"/>
      <w:r w:rsidRPr="00620A5E">
        <w:rPr>
          <w:rFonts w:eastAsia="Times New Roman"/>
        </w:rPr>
        <w:t>Kanjanee Phanphairoj and Ritzmond Loa.</w:t>
      </w:r>
      <w:proofErr w:type="gramEnd"/>
      <w:r w:rsidRPr="00620A5E">
        <w:rPr>
          <w:rFonts w:eastAsia="Times New Roman"/>
        </w:rPr>
        <w:t xml:space="preserve"> Curr Psychiatry Rev, 2017, volume 13, number 4, pp. 246-251.</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Background: Health is influenced by numerous factors that affect the health service system and health status of the people in every country. This article aims to compare the determinants of the health service system and the health status of the people in Thailand, the Lao PDR, Vietnam, and Cambodia; and to recommend policies that impact the population's health and the country's development. Methods: A comprehensive search of the literature from a variety of online search and academic databases, and synthesis of previous study was used in this paper. Data on country indicators were taken from published online databases of the Ministry of Public Health of Cambodia, Lao PDR, Thailand</w:t>
      </w:r>
      <w:proofErr w:type="gramStart"/>
      <w:r w:rsidRPr="00620A5E">
        <w:rPr>
          <w:rFonts w:eastAsia="Times New Roman"/>
        </w:rPr>
        <w:t>,and</w:t>
      </w:r>
      <w:proofErr w:type="gramEnd"/>
      <w:r w:rsidRPr="00620A5E">
        <w:rPr>
          <w:rFonts w:eastAsia="Times New Roman"/>
        </w:rPr>
        <w:t xml:space="preserve"> Vietnam; the World Health Organization, and the World Bank. Results: In Thailand, the determinants of the health service system and health status </w:t>
      </w:r>
      <w:r w:rsidRPr="00620A5E">
        <w:rPr>
          <w:rFonts w:eastAsia="Times New Roman"/>
        </w:rPr>
        <w:lastRenderedPageBreak/>
        <w:t>of the people are medical information and technology because of the government initiatives to improve the quality of healthcare services through the use of modern technology. In Vietnam, the society and culture, and the strengths and weaknesses of the hospital significantly affect the health status and health service system there because of the religious beliefs of the people. However, in Cambodia, the strengths and weaknesses of the hospital are the primary determinant of the health service system and health status of the people due to the condition of the hospitals, the availability of new medical devices, and the number of healthcare professionals. In the Lao PDR, trade and investment, and medical information and technology, significantly influence the health service system and health status of the people because of the government efforts to outsource capital expenditures and medical technology. Conclusion: The strengths and weaknesses of the hospital are the key determinants of the health service system and health status of the people in all GMS countries. Understanding the determinants of health is essential in order to develop policies and programs that impact the population's health and the country's development.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59" w:name="m_-9074501289396108005__Toc508808207"/>
      <w:r w:rsidRPr="00620A5E">
        <w:rPr>
          <w:rFonts w:ascii="Calibri" w:eastAsia="Times New Roman" w:hAnsi="Calibri"/>
          <w:b/>
          <w:bCs/>
          <w:color w:val="800000"/>
          <w:sz w:val="22"/>
          <w:szCs w:val="22"/>
        </w:rPr>
        <w:t>Comparative epidemiology of highly pathogenic avian influenza virus H5N1 and H5N6 in Vietnamese live bird markets: spatio-temporal patterns of distribution and risk factors.</w:t>
      </w:r>
      <w:bookmarkEnd w:id="59"/>
    </w:p>
    <w:p w:rsidR="00620A5E" w:rsidRPr="00620A5E" w:rsidRDefault="00620A5E" w:rsidP="00620A5E">
      <w:pPr>
        <w:spacing w:before="100" w:beforeAutospacing="1"/>
        <w:rPr>
          <w:rFonts w:eastAsia="Times New Roman"/>
        </w:rPr>
      </w:pPr>
      <w:r w:rsidRPr="00620A5E">
        <w:rPr>
          <w:rFonts w:eastAsia="Times New Roman"/>
        </w:rPr>
        <w:t xml:space="preserve">Kate C. Mellor, Kim Stevens, Anne Meyer, Dirk U. Pfeiffer, Marius Gilbert and others. </w:t>
      </w:r>
      <w:proofErr w:type="gramStart"/>
      <w:r w:rsidRPr="00620A5E">
        <w:rPr>
          <w:rFonts w:eastAsia="Times New Roman"/>
        </w:rPr>
        <w:t>Frontiers in veterinary science, 2018.</w:t>
      </w:r>
      <w:proofErr w:type="gramEnd"/>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41" w:tgtFrame="_blank" w:history="1">
        <w:r w:rsidRPr="00620A5E">
          <w:rPr>
            <w:rFonts w:eastAsia="Times New Roman"/>
            <w:color w:val="0000FF"/>
            <w:u w:val="single"/>
          </w:rPr>
          <w:t>https://www.frontiersin.org/articles/10.3389/fvets.2018.00051/abstract</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Highly pathogenic avian influenza (HPAI) H5N1 virus has been circulating in Vietnam since 2003, while outbreaks of HPAI H5N6 virus are more recent, having only been reported since 2014. Although the spatial </w:t>
      </w:r>
      <w:proofErr w:type="gramStart"/>
      <w:r w:rsidRPr="00620A5E">
        <w:rPr>
          <w:rFonts w:eastAsia="Times New Roman"/>
        </w:rPr>
        <w:t>distribution of H5N1 outbreaks and risk factors for virus occurrence have</w:t>
      </w:r>
      <w:proofErr w:type="gramEnd"/>
      <w:r w:rsidRPr="00620A5E">
        <w:rPr>
          <w:rFonts w:eastAsia="Times New Roman"/>
        </w:rPr>
        <w:t xml:space="preserve"> been extensively studied, there have been no comparative studies for H5N6. Data collected through active surveillance of Vietnamese live-bird markets (LBMs) between 2011 and 2015 were used to explore and compare the spatio-temporal distributions of H5N1- and H5N6-positive LBMs. Conditional autoregressive models were developed to quantify spatio-temporal associations between agro-ecological factors and the two HPAI strains using the same set of predictor variables. Unlike H5N1, which exhibited a strong north-south divide, with repeated occurrence in the extreme south of a cluster of high-risk provinces, H5N6 was homogeneously distributed throughout Vietnam. Similarly, different agro-ecological factors were associated with each strain. Sample collection in the months of January and February and higher average maximum temperature were associated with higher likelihood of H5N1 positive market-day status. The likelihood of market-days being positive for H5N6 increased with decreased river density, and with successive Rounds of data collection. This study highlights marked differences in spatial patterns and risk factors for H5N1 and H5N6 in Vietnam, suggesting the need for tailored surveillance and control approaches.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lastRenderedPageBreak/>
        <w:t xml:space="preserve">               </w:t>
      </w:r>
      <w:hyperlink r:id="rId42"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60" w:name="m_-9074501289396108005__Toc508808208"/>
      <w:r w:rsidRPr="00620A5E">
        <w:rPr>
          <w:rFonts w:ascii="Calibri" w:eastAsia="Times New Roman" w:hAnsi="Calibri"/>
          <w:b/>
          <w:bCs/>
          <w:color w:val="800000"/>
          <w:sz w:val="22"/>
          <w:szCs w:val="22"/>
        </w:rPr>
        <w:t>Association between user fees and dropout from methadone maintenance therapy: Results of a cohort study in Vietnam.</w:t>
      </w:r>
      <w:bookmarkEnd w:id="60"/>
    </w:p>
    <w:p w:rsidR="00620A5E" w:rsidRPr="00620A5E" w:rsidRDefault="00620A5E" w:rsidP="00620A5E">
      <w:pPr>
        <w:spacing w:before="100" w:beforeAutospacing="1"/>
        <w:rPr>
          <w:rFonts w:eastAsia="Times New Roman"/>
        </w:rPr>
      </w:pPr>
      <w:r w:rsidRPr="00620A5E">
        <w:rPr>
          <w:rFonts w:eastAsia="Times New Roman"/>
        </w:rPr>
        <w:t>Benjamin Johns, Le Bao Chau, Kieu Huu Hanh, Pham Duc Manh, Hoa Mai Do and others. Health Systems &amp; Reform, 2018, pp. 1-33.</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Vietnam launched methadone maintenance therapy (MMT) in 2008 with donor funding. To expand and ensure sustainability of the program, Vietnam shifted the responsibility for financing portions of MMT to provinces and, in </w:t>
      </w:r>
      <w:proofErr w:type="gramStart"/>
      <w:r w:rsidRPr="00620A5E">
        <w:rPr>
          <w:rFonts w:eastAsia="Times New Roman"/>
        </w:rPr>
        <w:t>2015,</w:t>
      </w:r>
      <w:proofErr w:type="gramEnd"/>
      <w:r w:rsidRPr="00620A5E">
        <w:rPr>
          <w:rFonts w:eastAsia="Times New Roman"/>
        </w:rPr>
        <w:t xml:space="preserve"> some provinces started collecting user fees for MMT. This study assesses the association between user fees and patient dropout using a one-year observational cohort of 1,021 MMT patients in which three of seven provinces included in the study implemented user fees. We also estimate the catastrophic </w:t>
      </w:r>
      <w:proofErr w:type="gramStart"/>
      <w:r w:rsidRPr="00620A5E">
        <w:rPr>
          <w:rFonts w:eastAsia="Times New Roman"/>
        </w:rPr>
        <w:t>payments ?</w:t>
      </w:r>
      <w:proofErr w:type="gramEnd"/>
      <w:r w:rsidRPr="00620A5E">
        <w:rPr>
          <w:rFonts w:eastAsia="Times New Roman"/>
        </w:rPr>
        <w:t xml:space="preserve"> </w:t>
      </w:r>
      <w:proofErr w:type="gramStart"/>
      <w:r w:rsidRPr="00620A5E">
        <w:rPr>
          <w:rFonts w:eastAsia="Times New Roman"/>
        </w:rPr>
        <w:t>payments</w:t>
      </w:r>
      <w:proofErr w:type="gramEnd"/>
      <w:r w:rsidRPr="00620A5E">
        <w:rPr>
          <w:rFonts w:eastAsia="Times New Roman"/>
        </w:rPr>
        <w:t xml:space="preserve"> of 40% or more of non-subsistence expenditures ? </w:t>
      </w:r>
      <w:proofErr w:type="gramStart"/>
      <w:r w:rsidRPr="00620A5E">
        <w:rPr>
          <w:rFonts w:eastAsia="Times New Roman"/>
        </w:rPr>
        <w:t>associated</w:t>
      </w:r>
      <w:proofErr w:type="gramEnd"/>
      <w:r w:rsidRPr="00620A5E">
        <w:rPr>
          <w:rFonts w:eastAsia="Times New Roman"/>
        </w:rPr>
        <w:t xml:space="preserve"> with MMT. Box Cox proportional hazard models were used to assess the association between user fees and patient dropout. About 85% of the cohort was actively on MMT at the end of the observation period. Of those that stopped MMT care, about 8% dropped out, 3.5% were incarcerated, 1.5% died, and 2% stopped for other reasons. The dropout hazard ratio for paying user fees compared to not paying user fees ranged from 0.70 (unadjusted, p = 0.26) to 0.29 (adjusted, p = 0.33). However, 29% of patients in provinces implementing user fees incurred catastrophic payments for MMT associated user fees and transportation, compared with 11% of patients in provinces not implementing user fees (p&lt;0.001). In one year of follow-up, we do not find evidence that user fees increased dropout from MMT. However, catastrophic payment rates remain a concern. This study represents an example of one type of monitoring of financial transitions; further and longer-term evaluation of user fees is needed.</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61" w:name="m_-9074501289396108005__Toc508808209"/>
      <w:r w:rsidRPr="00620A5E">
        <w:rPr>
          <w:rFonts w:ascii="Calibri" w:eastAsia="Times New Roman" w:hAnsi="Calibri"/>
          <w:b/>
          <w:bCs/>
          <w:color w:val="800000"/>
          <w:sz w:val="22"/>
          <w:szCs w:val="22"/>
        </w:rPr>
        <w:t>Breast cancer services in Vietnam: a scoping review.</w:t>
      </w:r>
      <w:bookmarkEnd w:id="61"/>
    </w:p>
    <w:p w:rsidR="00620A5E" w:rsidRPr="00620A5E" w:rsidRDefault="00620A5E" w:rsidP="00620A5E">
      <w:pPr>
        <w:spacing w:before="100" w:beforeAutospacing="1"/>
        <w:rPr>
          <w:rFonts w:eastAsia="Times New Roman"/>
        </w:rPr>
      </w:pPr>
      <w:r w:rsidRPr="00620A5E">
        <w:rPr>
          <w:rFonts w:eastAsia="Times New Roman"/>
        </w:rPr>
        <w:t>Chris Jenkins, Luu Ngoc Minh, Tran Tuan Anh, Tran Thu Ngan, Ngo Tri Tuan and others. Global Health Action, 2018, volume 11, number 1, p. 1435344.</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Background: Breast cancer incidence has been increasing consistently in Vietnam. Thus far, there have been no analytical reviews of research produced within this area.Objectives: We sought to analyse the nature andextent of empirical studies about breast cancer in Vietnam, identifying areas for future research and systemsstrengthening.Methods: We undertook a scoping study using a five-stage framework to review published and grey literature in English and Vietnamese on breast cancer detection, diagnosis and treatment. We focused specifically on research discussing the health system and service provision.Results: Our results show that breast cancer screening is limited, with no permanent or integrated national screening activities. There </w:t>
      </w:r>
      <w:r w:rsidRPr="00620A5E">
        <w:rPr>
          <w:rFonts w:eastAsia="Times New Roman"/>
        </w:rPr>
        <w:lastRenderedPageBreak/>
        <w:t>is a lack of information on screening processes and on the integration of screening services with other areas of the health system. Treatment is largely centralised, and across all services there is a lack of evaluation and data collection that would be informative for recommendations seeking to improve accessibility and quality of breast cancer services.Conclusions: This paper is the first scoping review of breast cancer services in Vietnam. It outlines areas for future focus for policy makers and researchers with the objective of strengthening service provision to women with breast cancer across the country while also providing a methodological example for how to conduct a collaborative scoping review.</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43"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62" w:name="m_-9074501289396108005__Toc508808210"/>
      <w:r w:rsidRPr="00620A5E">
        <w:rPr>
          <w:rFonts w:ascii="Calibri" w:eastAsia="Times New Roman" w:hAnsi="Calibri"/>
          <w:b/>
          <w:bCs/>
          <w:color w:val="800000"/>
          <w:sz w:val="22"/>
          <w:szCs w:val="22"/>
        </w:rPr>
        <w:t>The effects of socioecological factors on variation of communicable diseases: A multiple-disease study at the national scale of Vietnam.</w:t>
      </w:r>
      <w:bookmarkEnd w:id="62"/>
    </w:p>
    <w:p w:rsidR="00620A5E" w:rsidRPr="00620A5E" w:rsidRDefault="00620A5E" w:rsidP="00620A5E">
      <w:pPr>
        <w:spacing w:before="100" w:beforeAutospacing="1"/>
        <w:rPr>
          <w:rFonts w:eastAsia="Times New Roman"/>
        </w:rPr>
      </w:pPr>
      <w:r w:rsidRPr="00620A5E">
        <w:rPr>
          <w:rFonts w:eastAsia="Times New Roman"/>
        </w:rPr>
        <w:t>Dung Phung, Huong Xuan Nguyen, Huong Lien Thi Nguyen, Anh Mai Luong, Cuong Manh Do and others. PLoS One, 2018, volume 13, number 3, p. e0193246.</w:t>
      </w:r>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44" w:tgtFrame="_blank" w:history="1">
        <w:r w:rsidRPr="00620A5E">
          <w:rPr>
            <w:rFonts w:eastAsia="Times New Roman"/>
            <w:color w:val="0000FF"/>
            <w:u w:val="single"/>
          </w:rPr>
          <w:t>http://journals.plos.org/plosone/article?id=10.1371/journal.pone.0193246</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OBJECTIVE: To examine the effects of socioecological factors on multiple communicable diseases across Vietnam. METHODS: We used the Moran's I tests to evaluate spatial clusters of diseases and applied multilevel negative binomial regression models using the Bayesian framework to analyse the association between socioecological factors and the diseases queried by oral, airborne, vector-borne, and animal transmission diseases. RESULTS AND SIGNIFICANCE: The study found that oral-transmission diseases were spatially distributed across the country; whereas, the airborne-transmission diseases were more clustered in the Northwest and vector-borne transmission diseases were more clustered in the South. Most of diseases were sensitive with climatic factors. For instance, a 1 degrees C increase in average temperature is significantly associated with 0.4% (95CI, 0.3-0.5), 2.5% (95%CI, 1.4-3.6), 0.9% (95%CI, 0.6-1.4), 1.1% (95%CI), 5% (95%CI, 3-.7.4), 0.4% (95%CI, 0.2-0.7), and 2% (95%CI, 1.5-2.8) increase in risk of diarrhoea, shigellosis, mumps, influenza, dengue, malaria, and rabies respectively. The influences of socio-economic factors on risk of communicable diseases are varied by factors with the biggest influence of population density. The research findings reflect an important implication for the climate change adaptation strategies of health sectors. A development of weather-based early warning systems should be considered to strengthen communicable disease prevention in Vietnam.</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63" w:name="m_-9074501289396108005__Toc508808211"/>
      <w:r w:rsidRPr="00620A5E">
        <w:rPr>
          <w:rFonts w:ascii="Calibri" w:eastAsia="Times New Roman" w:hAnsi="Calibri"/>
          <w:b/>
          <w:bCs/>
          <w:color w:val="800000"/>
          <w:sz w:val="22"/>
          <w:szCs w:val="22"/>
        </w:rPr>
        <w:t>Outcomes of compulsory detention compared to community-based voluntary methadone maintenance treatment in Vietnam.</w:t>
      </w:r>
      <w:bookmarkEnd w:id="63"/>
    </w:p>
    <w:p w:rsidR="00620A5E" w:rsidRPr="00620A5E" w:rsidRDefault="00620A5E" w:rsidP="00620A5E">
      <w:pPr>
        <w:spacing w:before="100" w:beforeAutospacing="1"/>
        <w:rPr>
          <w:rFonts w:eastAsia="Times New Roman"/>
        </w:rPr>
      </w:pPr>
      <w:r w:rsidRPr="00620A5E">
        <w:rPr>
          <w:rFonts w:eastAsia="Times New Roman"/>
        </w:rPr>
        <w:lastRenderedPageBreak/>
        <w:t>Thu Vuong, Alison Ritter, Marian Shanahan, Robert Ali, Nhu Nguyen and others. J Subst Abuse Treat, 2018, volume 87, pp. 9-15.</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INTRODUCTION: In Vietnam, like many countries in East and Southeast Asia, the government has invested heavily in center-based compulsory treatment (CCT) as the mainstay demand reduction strategy for illicit drug use. This approach has been criticised on human rights grounds. Meanwhile, community-based voluntary methadone maintenance treatment (MMT) has been implemented for nearly a decade with promising results. To date, there have been no comparative Vietnamese studies of these approaches. MATERIAL AND METHODS: The study, involving 208 CCT participants and 384 MMT participants with heroin dependence, was a combined retrospective and prospective observational study conducted over three years between 2012 and 2014 (with data at five time-points). The primary outcome was: self-report heroin use (confirmed by urinalysis). The four secondary outcomes were: illegal behaviours, overdose, blood-borne virus (BBV) risk behaviours, and monthly drug expenditure. Mixed effects regression analyses, which took into account baseline differences between the groups, were used to analyse the data. This study is registered with ClinicalTrials.gov, number NCT03071315. RESULTS: The study found MMT was more strongly associated with four outcome measures compared to CCT (reduction in heroin use (beta=3.39, SE=0.31, p&lt;.0001) (equivalent to an odds ratio of 29.67 (95% CI 21.76-40.45)), reduction in illegal behaviours (beta=0.94, SE=0.39, p&lt;.0001), (equivalent to an odds ratio of 2.56 (95% CI 1.79-3.78)), reduction in BBV risk behaviours (beta=1.08, SE=0.17, p&lt;.0001), (equivalent to an odds ratio of 2.94 (95% CI 2.48-3.49)), and reduction in monthly drug spending (beta=-VND1,515,200 (equivalent to US$72.00), SE=VND452,900, p&lt;.0001)). The analyses did not support the hypothesis that MMT was associated with better outcomes pertaining to overdose (beta=-0.27, SE=0.30, p=.62), probably due to the infrequency of these self-reported events. CONCLUSIONS: Our observational study suggests that MMT is associated with greater reductions in heroin use, BBV risk behaviours, drug-related illegal behaviours, and monthly drug spending compared with CCT. In the context that the CCT approach has been criticized for human rights violations, this study provides evidence to support the scale up of MMT and the transition of CCT to voluntary community based treatment.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45"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64" w:name="m_-9074501289396108005__Toc508808212"/>
      <w:proofErr w:type="gramStart"/>
      <w:r w:rsidRPr="00620A5E">
        <w:rPr>
          <w:rFonts w:ascii="Calibri" w:eastAsia="Times New Roman" w:hAnsi="Calibri"/>
          <w:b/>
          <w:bCs/>
          <w:color w:val="800000"/>
          <w:sz w:val="22"/>
          <w:szCs w:val="22"/>
        </w:rPr>
        <w:t>An educational intervention to improve hand hygiene compliance in Vietnam.</w:t>
      </w:r>
      <w:bookmarkEnd w:id="64"/>
      <w:proofErr w:type="gramEnd"/>
    </w:p>
    <w:p w:rsidR="00620A5E" w:rsidRPr="00620A5E" w:rsidRDefault="00620A5E" w:rsidP="00620A5E">
      <w:pPr>
        <w:spacing w:before="100" w:beforeAutospacing="1"/>
        <w:rPr>
          <w:rFonts w:eastAsia="Times New Roman"/>
        </w:rPr>
      </w:pPr>
      <w:r w:rsidRPr="00620A5E">
        <w:rPr>
          <w:rFonts w:eastAsia="Times New Roman"/>
        </w:rPr>
        <w:t>Hang Thi Phan, Hang Thi Thuy Tran, Hanh Thi My Tran, Anh Pham Phuong Dinh, Ha Thanh Ngo and others. BMC Infectious Diseases, 2018, volume 18, number 1, p. 116.</w:t>
      </w:r>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46" w:tgtFrame="_blank" w:history="1">
        <w:r w:rsidRPr="00620A5E">
          <w:rPr>
            <w:rFonts w:eastAsia="Times New Roman"/>
            <w:color w:val="0000FF"/>
            <w:u w:val="single"/>
          </w:rPr>
          <w:t>https://doi.org/10.1186/s12879-018-3029-5</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lastRenderedPageBreak/>
        <w:t>Abstract: Background: Hand hygiene compliance is the basis of infection control programs. In developing countries models to improve hand hygiene compliance to reduce healthcare acquired infections are required. The aim of this study was to determine hand hygiene compliance following an educational program in an obstetric and gynecological hospital in Vietnam. --- Methods: Health care workers from neonatal intensive care, delivery suite and a surgical ward from Hung Vuong Hospital, Ho Chi Minh City, Vietnam undertook a 4-h educational program targeting hand hygiene. Compliance was monitored monthly for six months following the intervention. Hand hygiene knowledge was assessed at baseline and after six months of the study. --- Results: There were 7124 opportunities over 370 hand hygiene recording sessions with 1531 opportunities at baseline and 1620 at 6 months following the intervention. Hand hygiene compliance increased significantly from baseline across all sites (43.6% [95% Confidence interval CI: 41.1–46.1] to 63% [95% CI: 60.6–65.3]; p &lt; 0.0001). Health care worker hand hygiene compliance increased significantly after intervention (p &lt; 0.0001). There were significant improvements in knowledge scores from baseline to 2 months post educational intervention with mean difference standard deviations (SD): 1.5 (2.5); p &lt; 0.001). --- Conclusions: A simple educational model was implemented in a Vietnamese hospital that revealed good hand hygiene compliance for an extended period of time. Hand hygiene knowledge increased during the intervention. This hand hygiene model could be used in developing countries were resources are limited.</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65" w:name="m_-9074501289396108005__Toc508808213"/>
      <w:proofErr w:type="gramStart"/>
      <w:r w:rsidRPr="00620A5E">
        <w:rPr>
          <w:rFonts w:ascii="Calibri" w:eastAsia="Times New Roman" w:hAnsi="Calibri"/>
          <w:b/>
          <w:bCs/>
          <w:color w:val="800000"/>
          <w:sz w:val="22"/>
          <w:szCs w:val="22"/>
        </w:rPr>
        <w:t>Integrating HIV/AIDS in Vietnam's Social Health Insurance Scheme: Experience and Lessons from the Health Finance and Governance Project, 2014–2017.</w:t>
      </w:r>
      <w:bookmarkEnd w:id="65"/>
      <w:proofErr w:type="gramEnd"/>
    </w:p>
    <w:p w:rsidR="00620A5E" w:rsidRPr="00620A5E" w:rsidRDefault="00620A5E" w:rsidP="00620A5E">
      <w:pPr>
        <w:spacing w:before="100" w:beforeAutospacing="1"/>
        <w:rPr>
          <w:rFonts w:eastAsia="Times New Roman"/>
        </w:rPr>
      </w:pPr>
      <w:proofErr w:type="gramStart"/>
      <w:r w:rsidRPr="00620A5E">
        <w:rPr>
          <w:rFonts w:eastAsia="Times New Roman"/>
        </w:rPr>
        <w:t>Nazzareno Todini, Theodore M. Hammett and Bob Fryatt.</w:t>
      </w:r>
      <w:proofErr w:type="gramEnd"/>
      <w:r w:rsidRPr="00620A5E">
        <w:rPr>
          <w:rFonts w:eastAsia="Times New Roman"/>
        </w:rPr>
        <w:t xml:space="preserve"> Health Systems &amp; Reform, 2018, pp. 1-28.</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This article describes the lessons learned by USAID's Health Finance and Governance project over three years of implementation of health system strengthening activities in Vietnam. The authors recount the project's approach to supporting significant advancements in the GVN's efforts to transition the financing of HIV/AIDS from donors? </w:t>
      </w:r>
      <w:proofErr w:type="gramStart"/>
      <w:r w:rsidRPr="00620A5E">
        <w:rPr>
          <w:rFonts w:eastAsia="Times New Roman"/>
        </w:rPr>
        <w:t>to</w:t>
      </w:r>
      <w:proofErr w:type="gramEnd"/>
      <w:r w:rsidRPr="00620A5E">
        <w:rPr>
          <w:rFonts w:eastAsia="Times New Roman"/>
        </w:rPr>
        <w:t xml:space="preserve"> domestic resources, while assuring adequate coverage and financial protection for people living with HIV. Through an adaptive method of technical assistance design and delivery, the project aligned early on with the GVN's policy to finance HIV through Social Health Insurance and supported the Ministry of Health, the Vietnam Authority for AIDS Control and the Vietnam Social Security agency in ensuring the long-term sustainability of HIV programs in the country. Major lessons included the importance of working within complex adaptive systems, the need to work within the country's existing policy framework and the aim of creating and disseminating evidence in a cyclical fashion to sustain deliberate, persistent advocacy activities to guide and support the relevant decision makers.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47"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lastRenderedPageBreak/>
        <w:t> </w:t>
      </w:r>
    </w:p>
    <w:p w:rsidR="00620A5E" w:rsidRPr="00620A5E" w:rsidRDefault="00620A5E" w:rsidP="00620A5E">
      <w:pPr>
        <w:outlineLvl w:val="1"/>
        <w:rPr>
          <w:rFonts w:eastAsia="Times New Roman"/>
          <w:b/>
          <w:bCs/>
          <w:sz w:val="36"/>
          <w:szCs w:val="36"/>
        </w:rPr>
      </w:pPr>
      <w:bookmarkStart w:id="66" w:name="m_-9074501289396108005__Toc508808214"/>
      <w:r w:rsidRPr="00620A5E">
        <w:rPr>
          <w:rFonts w:ascii="Calibri" w:eastAsia="Times New Roman" w:hAnsi="Calibri"/>
          <w:b/>
          <w:bCs/>
          <w:color w:val="800000"/>
          <w:sz w:val="22"/>
          <w:szCs w:val="22"/>
        </w:rPr>
        <w:t>Growing challenges for HIV programmes in Asia: clinic population trends, 2003-2013.</w:t>
      </w:r>
      <w:bookmarkEnd w:id="66"/>
    </w:p>
    <w:p w:rsidR="00620A5E" w:rsidRPr="00620A5E" w:rsidRDefault="00620A5E" w:rsidP="00620A5E">
      <w:pPr>
        <w:spacing w:before="100" w:beforeAutospacing="1"/>
        <w:rPr>
          <w:rFonts w:eastAsia="Times New Roman"/>
        </w:rPr>
      </w:pPr>
      <w:r w:rsidRPr="00620A5E">
        <w:rPr>
          <w:rFonts w:eastAsia="Times New Roman"/>
        </w:rPr>
        <w:t>Nicole L De La Mata, Nagalingeswaran Kumarasamy, Penh Sun Ly, Oon Tek Ng, Kinh Van Nguyen and others. AIDS Care, 2017, volume 29, number 10, pp. 1243-1254.</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The scale-up of antiretroviral therapy (ART) has led to a substantial change in the clinical population of HIV-positive patients receiving care. We describe the temporal trends in the demographic and clinical characteristics of HIV-positive patients initiating ART in 2003-13 within an Asian regional cohort. All HIV-positive adult patients that initiated ART between 2003 and 2013 were included. We summarized ART regimen use, age, CD4 cell count, HIV viral load, and HIV-related laboratory monitoring rates during follow-up by calendar year. A total of 16 962 patients were included in the analysis. Patients in active follow-up increased from 695 patients at four sites in 2003 to 11,137 patients at eight sites in 2013. The proportion of patients receiving their second or third ART regimen increased over time (5% in 2003 to 29% in 2013) along with patients aged &gt;/=50 years (8% in 2003 to 18% in 2013). Concurrently, CD4 monitoring has remained stable in recent years, whereas HIV viral load monitoring, although varied among the sites, is increasing. There have been substantial changes in the clinical and demographic characteristics of HIV-positive patients receiving ART in Asia. HIV programmes will need to anticipate the clinical care needs for their aging populations, expanded viral load monitoring, and, the eventual increase in second and third ART regimens that will lead to higher costs and more complex drug procurement needs.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67" w:name="m_-9074501289396108005__Toc508808215"/>
      <w:proofErr w:type="gramStart"/>
      <w:r w:rsidRPr="00620A5E">
        <w:rPr>
          <w:rFonts w:ascii="Calibri" w:eastAsia="Times New Roman" w:hAnsi="Calibri"/>
          <w:b/>
          <w:bCs/>
          <w:color w:val="800000"/>
          <w:sz w:val="22"/>
          <w:szCs w:val="22"/>
        </w:rPr>
        <w:t>mCME</w:t>
      </w:r>
      <w:proofErr w:type="gramEnd"/>
      <w:r w:rsidRPr="00620A5E">
        <w:rPr>
          <w:rFonts w:ascii="Calibri" w:eastAsia="Times New Roman" w:hAnsi="Calibri"/>
          <w:b/>
          <w:bCs/>
          <w:color w:val="800000"/>
          <w:sz w:val="22"/>
          <w:szCs w:val="22"/>
        </w:rPr>
        <w:t xml:space="preserve"> project V.2.0: randomised controlled trial of a revised SMS-based continuing medical education intervention among HIV clinicians in Vietnam.</w:t>
      </w:r>
      <w:bookmarkEnd w:id="67"/>
    </w:p>
    <w:p w:rsidR="00620A5E" w:rsidRPr="00620A5E" w:rsidRDefault="00620A5E" w:rsidP="00620A5E">
      <w:pPr>
        <w:spacing w:before="100" w:beforeAutospacing="1"/>
        <w:rPr>
          <w:rFonts w:eastAsia="Times New Roman"/>
        </w:rPr>
      </w:pPr>
      <w:r w:rsidRPr="00620A5E">
        <w:rPr>
          <w:rFonts w:eastAsia="Times New Roman"/>
        </w:rPr>
        <w:t>Christopher J Gill, Ngoc Bao Le, Nafisa Halim, Cao Thi Hue Chi, Viet Ha Nguyen and others. BMJ Global Health, 2018, volume 3, number 1.</w:t>
      </w:r>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48" w:tgtFrame="_blank" w:history="1">
        <w:r w:rsidRPr="00620A5E">
          <w:rPr>
            <w:rFonts w:eastAsia="Times New Roman"/>
            <w:color w:val="0000FF"/>
            <w:u w:val="single"/>
          </w:rPr>
          <w:t>http://gh.bmj.com/content/bmjgh/3/1/e000632.full.pdf</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Background </w:t>
      </w:r>
      <w:proofErr w:type="gramStart"/>
      <w:r w:rsidRPr="00620A5E">
        <w:rPr>
          <w:rFonts w:eastAsia="Times New Roman"/>
        </w:rPr>
        <w:t>Continuing</w:t>
      </w:r>
      <w:proofErr w:type="gramEnd"/>
      <w:r w:rsidRPr="00620A5E">
        <w:rPr>
          <w:rFonts w:eastAsia="Times New Roman"/>
        </w:rPr>
        <w:t xml:space="preserve"> medical education (CME) is indispensable, but costs are a barrier. We tested the effectiveness of a novel mHealth intervention (mCME V.2.0) promoting CME among Vietnamese HIV clinicians.Methods </w:t>
      </w:r>
      <w:proofErr w:type="gramStart"/>
      <w:r w:rsidRPr="00620A5E">
        <w:rPr>
          <w:rFonts w:eastAsia="Times New Roman"/>
        </w:rPr>
        <w:t>We</w:t>
      </w:r>
      <w:proofErr w:type="gramEnd"/>
      <w:r w:rsidRPr="00620A5E">
        <w:rPr>
          <w:rFonts w:eastAsia="Times New Roman"/>
        </w:rPr>
        <w:t xml:space="preserve"> enrolled HIV clinicians from three provinces near Hanoi. The 6-month intervention consisted of (1) daily short message service multiple-choice quiz questions, (2) daily linked readings, (3) links to online CME courses and (4) feedback messages describing the performance of the participant relative to the group. Control participants had equal access to the online CME courses. Our primary endpoint was utilisation of the online CME courses; secondary endpoints were self-study behaviour, performance on a standardised medical exam and job satisfaction.Results From 121 total HIV clinicians in the three provinces, 106 (87.6%) enrolled, and 48/53 intervention (90%) and 47/53 control (89%) </w:t>
      </w:r>
      <w:r w:rsidRPr="00620A5E">
        <w:rPr>
          <w:rFonts w:eastAsia="Times New Roman"/>
        </w:rPr>
        <w:lastRenderedPageBreak/>
        <w:t>participants completed the endline evaluations. Compared with controls, intervention participants were more likely to use the CME courses (risk ratio (RR) 2.3, 95% CI 1.4 to 3.8, accounting for 83% of course use (P&amp;lt</w:t>
      </w:r>
      <w:proofErr w:type="gramStart"/>
      <w:r w:rsidRPr="00620A5E">
        <w:rPr>
          <w:rFonts w:eastAsia="Times New Roman"/>
        </w:rPr>
        <w:t>;0.001</w:t>
      </w:r>
      <w:proofErr w:type="gramEnd"/>
      <w:r w:rsidRPr="00620A5E">
        <w:rPr>
          <w:rFonts w:eastAsia="Times New Roman"/>
        </w:rPr>
        <w:t>)). Intervention participants increased self-study behaviours over controls in terms of use of medical textbooks (P&amp;lt</w:t>
      </w:r>
      <w:proofErr w:type="gramStart"/>
      <w:r w:rsidRPr="00620A5E">
        <w:rPr>
          <w:rFonts w:eastAsia="Times New Roman"/>
        </w:rPr>
        <w:t>;0.01</w:t>
      </w:r>
      <w:proofErr w:type="gramEnd"/>
      <w:r w:rsidRPr="00620A5E">
        <w:rPr>
          <w:rFonts w:eastAsia="Times New Roman"/>
        </w:rPr>
        <w:t xml:space="preserve">), consulting with colleagues (P&amp;lt;0.01), searching on the internet (P&amp;lt;0.001), using specialist websites (P=0.02), consulting the Vietnam HIV/AIDS treatment guidelines (P=0.02) and searching the scientific literature (P=0.09). Intervention participants outperformed controls on the exam (+23% vs +12% score gains, P=0.05) and had higher job satisfaction.Conclusion </w:t>
      </w:r>
      <w:proofErr w:type="gramStart"/>
      <w:r w:rsidRPr="00620A5E">
        <w:rPr>
          <w:rFonts w:eastAsia="Times New Roman"/>
        </w:rPr>
        <w:t>The</w:t>
      </w:r>
      <w:proofErr w:type="gramEnd"/>
      <w:r w:rsidRPr="00620A5E">
        <w:rPr>
          <w:rFonts w:eastAsia="Times New Roman"/>
        </w:rPr>
        <w:t xml:space="preserve"> mCME V.2.0 intervention improved self-study behaviour, medical knowledge and job satisfaction. This approach has potential for expansion in Vietnam and similar settings.Trial registration number NCT02381743.</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49"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68" w:name="m_-9074501289396108005__Toc508808216"/>
      <w:proofErr w:type="gramStart"/>
      <w:r w:rsidRPr="00620A5E">
        <w:rPr>
          <w:rFonts w:ascii="Calibri" w:eastAsia="Times New Roman" w:hAnsi="Calibri"/>
          <w:b/>
          <w:bCs/>
          <w:color w:val="800000"/>
          <w:sz w:val="22"/>
          <w:szCs w:val="22"/>
        </w:rPr>
        <w:t>Public attitude towards restrictions on persons with mental illness in greater Hanoi area, Vietnam.</w:t>
      </w:r>
      <w:bookmarkEnd w:id="68"/>
      <w:proofErr w:type="gramEnd"/>
    </w:p>
    <w:p w:rsidR="00620A5E" w:rsidRPr="00620A5E" w:rsidRDefault="00620A5E" w:rsidP="00620A5E">
      <w:pPr>
        <w:spacing w:before="100" w:beforeAutospacing="1"/>
        <w:rPr>
          <w:rFonts w:eastAsia="Times New Roman"/>
        </w:rPr>
      </w:pPr>
      <w:proofErr w:type="gramStart"/>
      <w:r w:rsidRPr="00620A5E">
        <w:rPr>
          <w:rFonts w:eastAsia="Times New Roman"/>
        </w:rPr>
        <w:t>Carolin Laqua, Eric Hahn, Kerem Boge, Lara K Martensen, Tat Dinh Nguyen and others.</w:t>
      </w:r>
      <w:proofErr w:type="gramEnd"/>
      <w:r w:rsidRPr="00620A5E">
        <w:rPr>
          <w:rFonts w:eastAsia="Times New Roman"/>
        </w:rPr>
        <w:t xml:space="preserve"> Int J Soc Psychiatry, 2018, p. 20764018763685.</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BACKGROUND AND AIMS: In recent years, there has been a growing awareness of the need to protect human rights in psychiatry. Within the last years, considerable effort has been made to reduce restrictive measures in mental health settings. Reducing restrictive measures within mental health care has also moved increasingly into the focus of public debate. This study aims, for the first time in a Southeast Asian sample, to explore whether socio-demographic factors affect public attitudes toward restrictions on mentally ill people in Hanoi, Vietnam. METHODS: A general population-based survey (self-report questionnaire) was carried out in 2013 in the greater Hanoi area. The survey sample ( N = 813) was recruited according to the latest published census (2009) and micro-census (2013) in Vietnam and Hanoi with regard to the socio-demographic factors gender, age, urbanity, household size and marital status. Multinomial logistic regressions for odds ratios with 95% confidence intervals were calculated to examine the influence of epidemiological variables, like gender and age, on the public attitude toward restrictions imposed on mentally ill people in Vietnam. RESULTS: This study found, for the first time in a large Vietnamese sample, that gender and age were associated with public attitudes toward restrictions on mentally ill people. In detail, significantly fewer men endorsed compulsory admission to a hospital and abortion than Vietnamese women. In addition, endorsement of abortion was significantly higher in older people. CONCLUSION: The results offer some insight into roles of women in the Vietnamese society and might reflect the traditional gender expectations in Vietnamese families. Moreover, the results emphasize the need for supporting female psychiatric patients and their families within their communities and in the Vietnamese society.</w:t>
      </w:r>
    </w:p>
    <w:p w:rsidR="00620A5E" w:rsidRPr="00620A5E" w:rsidRDefault="00620A5E" w:rsidP="00620A5E">
      <w:pPr>
        <w:spacing w:before="100" w:beforeAutospacing="1"/>
        <w:rPr>
          <w:rFonts w:eastAsia="Times New Roman"/>
        </w:rPr>
      </w:pPr>
      <w:r w:rsidRPr="00620A5E">
        <w:rPr>
          <w:rFonts w:eastAsia="Times New Roman"/>
        </w:rPr>
        <w:lastRenderedPageBreak/>
        <w:t> </w:t>
      </w:r>
    </w:p>
    <w:p w:rsidR="00620A5E" w:rsidRPr="00620A5E" w:rsidRDefault="00620A5E" w:rsidP="00620A5E">
      <w:pPr>
        <w:outlineLvl w:val="1"/>
        <w:rPr>
          <w:rFonts w:eastAsia="Times New Roman"/>
          <w:b/>
          <w:bCs/>
          <w:sz w:val="36"/>
          <w:szCs w:val="36"/>
        </w:rPr>
      </w:pPr>
      <w:bookmarkStart w:id="69" w:name="m_-9074501289396108005__Toc508808217"/>
      <w:r w:rsidRPr="00620A5E">
        <w:rPr>
          <w:rFonts w:ascii="Calibri" w:eastAsia="Times New Roman" w:hAnsi="Calibri"/>
          <w:b/>
          <w:bCs/>
          <w:color w:val="800000"/>
          <w:sz w:val="22"/>
          <w:szCs w:val="22"/>
        </w:rPr>
        <w:t>Acceptance and perceptions of generic substitution among pharmacists: A preliminary study in Vietnam.</w:t>
      </w:r>
      <w:bookmarkEnd w:id="69"/>
    </w:p>
    <w:p w:rsidR="00620A5E" w:rsidRPr="00620A5E" w:rsidRDefault="00620A5E" w:rsidP="00620A5E">
      <w:pPr>
        <w:spacing w:before="100" w:beforeAutospacing="1"/>
        <w:rPr>
          <w:rFonts w:eastAsia="Times New Roman"/>
        </w:rPr>
      </w:pPr>
      <w:r w:rsidRPr="00620A5E">
        <w:rPr>
          <w:rFonts w:eastAsia="Times New Roman"/>
        </w:rPr>
        <w:t>Quang Vinh Tran, Thoai Dang Nguyen, Tram Thi Huyen Nguyen, Nhi Hoang Yen Ngo and Trung Quang Vo. Journal of Pharmacy &amp; Pharmacognosy Research, 2018, volume 6, number 3.</w:t>
      </w:r>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50" w:tgtFrame="_blank" w:history="1">
        <w:r w:rsidRPr="00620A5E">
          <w:rPr>
            <w:rFonts w:eastAsia="Times New Roman"/>
            <w:color w:val="0000FF"/>
            <w:u w:val="single"/>
          </w:rPr>
          <w:t>https://www.researchgate.net/profile/Trung_Quang_Vo/publication/323256794_Acceptance_and_perceptions_of_generic_substitution_among_pharmacists_A_preliminary_study_in_Vietnam/links/5a8a319f0f7e9b1a95543035/Acceptance-and-perceptions-of-generic-substitution-among-pharmacists-A-preliminary-study-in-Vietnam.pdf</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Context: Over the last ten years, many research studies concerning pharmacists’ perceptions of generic medicines have been conducted worldwide, although this issue remains underexplored in Vietnam. --- Aims: To evaluate pharmacists’ views on generic medicines and to investigate the generic substitution practices in community pharmacies in the context of Vietnam. --- Methods: A cross-sectional survey comprising a 24-item self-administered anonymous questionnaire was distributed to 480 pharmacists in eleven provinces in southern Vietnam between December 2016 and March 2017. The main outcome measures were pharmacists’ views on generic medicines. --- Results: Of the 480 pharmacists who received the questionnaire, the effective response rate was 35.63% (n=171 pharmacists); however, 45 pharmacists chose all three correct generic names. Some 47.3% of respondents indicated that all the products that are approved as exhibiting generic equivalence can be considered therapeutically equivalent to the innovator drugs. Yet, 25.2% of respondents agreed that generic medicines are of inferior quality to branded medicines. The pharmacists who graduated from universities and those who had undergone only a short period of training differed significantly in terms of their knowledge and perceptions. About 60.2% of pharmacists recommended generics over branded products. Approximately 89% of respondents disagreed with the notion of implementing certain compulsory generic substitutions in Vietnam. --- Conclusions: The pharmacists who had completed only a short training period exhibited a lack of knowledge regarding generic names. This issue should hence be addressed by both pharmacy educators and relevant government agencies in order to ensure the wider use of generic products.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51"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70" w:name="m_-9074501289396108005__Toc508808218"/>
      <w:r w:rsidRPr="00620A5E">
        <w:rPr>
          <w:rFonts w:ascii="Calibri" w:eastAsia="Times New Roman" w:hAnsi="Calibri"/>
          <w:b/>
          <w:bCs/>
          <w:color w:val="800000"/>
          <w:sz w:val="22"/>
          <w:szCs w:val="22"/>
        </w:rPr>
        <w:t xml:space="preserve">[Antibiotic Residue in Environmental Water in Vietnam] </w:t>
      </w:r>
      <w:proofErr w:type="gramStart"/>
      <w:r w:rsidRPr="00620A5E">
        <w:rPr>
          <w:rFonts w:ascii="Calibri" w:eastAsia="Times New Roman" w:hAnsi="Calibri"/>
          <w:b/>
          <w:bCs/>
          <w:color w:val="800000"/>
          <w:sz w:val="22"/>
          <w:szCs w:val="22"/>
        </w:rPr>
        <w:t>[Full text in Japanese].</w:t>
      </w:r>
      <w:bookmarkEnd w:id="70"/>
      <w:proofErr w:type="gramEnd"/>
    </w:p>
    <w:p w:rsidR="00620A5E" w:rsidRPr="00620A5E" w:rsidRDefault="00620A5E" w:rsidP="00620A5E">
      <w:pPr>
        <w:spacing w:before="100" w:beforeAutospacing="1"/>
        <w:rPr>
          <w:rFonts w:eastAsia="Times New Roman"/>
        </w:rPr>
      </w:pPr>
      <w:r w:rsidRPr="00620A5E">
        <w:rPr>
          <w:rFonts w:eastAsia="Times New Roman"/>
        </w:rPr>
        <w:t>Kazuo Harada. Yakugaku Zasshi, 2018, volume 138, number 3, pp. 271-275.</w:t>
      </w:r>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52" w:tgtFrame="_blank" w:history="1">
        <w:r w:rsidRPr="00620A5E">
          <w:rPr>
            <w:rFonts w:eastAsia="Times New Roman"/>
            <w:color w:val="0000FF"/>
            <w:u w:val="single"/>
          </w:rPr>
          <w:t>https://www.jstage.jst.go.jp/article/yakushi/138/3/138_17-00177-1/_pdf/-char/ja</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lastRenderedPageBreak/>
        <w:t> </w:t>
      </w:r>
    </w:p>
    <w:p w:rsidR="00620A5E" w:rsidRPr="00620A5E" w:rsidRDefault="00620A5E" w:rsidP="00620A5E">
      <w:pPr>
        <w:spacing w:before="100" w:beforeAutospacing="1"/>
        <w:rPr>
          <w:rFonts w:eastAsia="Times New Roman"/>
        </w:rPr>
      </w:pPr>
      <w:r w:rsidRPr="00620A5E">
        <w:rPr>
          <w:rFonts w:eastAsia="Times New Roman"/>
        </w:rPr>
        <w:t xml:space="preserve">Abstract: The increasing prevalence of antimicrobial resistance (AMR) has caused intractable infections worldwide. Nearly 50% of the healthy population of Southeast Asia carries extended-spectrum beta-lactamase (ESBL)-producing Escherichia coli. The overuse of antimicrobial agents in the agriculture, aquaculture, and medical care sectors causes environmental pollution, facilitating the spread of AMR. However, there is a lack of data pertaining to antimicrobial residues in environmental water in such regions. We investigated a total of 49 chemicals, including beta-lactams, sulfonamides, quinolones, and tetracyclines. Water samples were collected from rivers in city centers, and ponds in livestock and aquaculture farms, in Ha Noi, Thai Binh, and Can Tho in Vietnam. We detected antimicrobial agents at 87 of 111 sampling sites (78.4%). Among the target analytes, sulfamethoxazole, sulfamethazine, trimethoprim, cephalexin, and ofloxacin were detected frequently. The residual levels of each antimicrobial agent ranged from 0.1 </w:t>
      </w:r>
      <w:proofErr w:type="gramStart"/>
      <w:r w:rsidRPr="00620A5E">
        <w:rPr>
          <w:rFonts w:eastAsia="Times New Roman"/>
        </w:rPr>
        <w:t>to 10000 ng/L.</w:t>
      </w:r>
      <w:proofErr w:type="gramEnd"/>
      <w:r w:rsidRPr="00620A5E">
        <w:rPr>
          <w:rFonts w:eastAsia="Times New Roman"/>
        </w:rPr>
        <w:t xml:space="preserve"> Moreover, we detected multi-drug resistant E. coli in fishes sampled from these rivers, suggesting unwanted effects of antimicrobial residues in the environment.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71" w:name="m_-9074501289396108005__Toc508808219"/>
      <w:r w:rsidRPr="00620A5E">
        <w:rPr>
          <w:rFonts w:ascii="Calibri" w:eastAsia="Times New Roman" w:hAnsi="Calibri"/>
          <w:b/>
          <w:bCs/>
          <w:color w:val="800000"/>
          <w:sz w:val="22"/>
          <w:szCs w:val="22"/>
        </w:rPr>
        <w:t>Antibiotic resistance: Implications of hospital practices for public health: A study from Hanoi, Vietnam [PhD thesis].</w:t>
      </w:r>
      <w:bookmarkEnd w:id="71"/>
    </w:p>
    <w:p w:rsidR="00620A5E" w:rsidRPr="00620A5E" w:rsidRDefault="00620A5E" w:rsidP="00620A5E">
      <w:pPr>
        <w:spacing w:before="100" w:beforeAutospacing="1"/>
        <w:rPr>
          <w:rFonts w:eastAsia="Times New Roman"/>
        </w:rPr>
      </w:pPr>
      <w:r w:rsidRPr="00620A5E">
        <w:rPr>
          <w:rFonts w:eastAsia="Times New Roman"/>
        </w:rPr>
        <w:t>La Thi Quynh Lien. Karolinska Institutet, 2018.</w:t>
      </w:r>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53" w:tgtFrame="_blank" w:history="1">
        <w:r w:rsidRPr="00620A5E">
          <w:rPr>
            <w:rFonts w:eastAsia="Times New Roman"/>
            <w:color w:val="0000FF"/>
            <w:u w:val="single"/>
          </w:rPr>
          <w:t>https://openarchive.ki.se/xmlui/bitstream/handle/10616/46214/Thesis_La_Thi_Quynh_Lien.pdf</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Background: Antibiotic resistance is a global challenge, requiring urgent attention. Inefficient hospital infection control and hospital dissemination of antibiotic residues and antibiotic resistant bacteria contribute to the spread of antibiotic resistance. --- Overall aim: To explore hospital practices in relation to the spread of antibiotic resistance in a rural and an urban hospital in Hanoi, Vietnam. --- Methods: The thesis consists of one qualitative (II) and three quantitative studies (I</w:t>
      </w:r>
      <w:proofErr w:type="gramStart"/>
      <w:r w:rsidRPr="00620A5E">
        <w:rPr>
          <w:rFonts w:eastAsia="Times New Roman"/>
        </w:rPr>
        <w:t>,III</w:t>
      </w:r>
      <w:proofErr w:type="gramEnd"/>
      <w:r w:rsidRPr="00620A5E">
        <w:rPr>
          <w:rFonts w:eastAsia="Times New Roman"/>
        </w:rPr>
        <w:t xml:space="preserve">&amp;IV). In Paper I, a cross-sectional study, questionnaires consisting of items on knowledge and practices of infection control were collected from 339 hospital staff. For analysis, total knowledge or practice score ranged from 0-15. In Paper II, individual interviews and focus group discussions were conducted with a total of 50 doctors, nurses and cleaning workers. A semi-structured guide on infection control was used. Content analysis was applied. In Papers III &amp; IV, wastewater samples were collected every month over one year in the two hospitals; quantities of antibiotics used were also collected in the rural hospital. High-performance liquid chromatography-tandem mass spectrometry was used to determine antibiotic concentrations; standard disk diffusion and E-test were applied for antibiotic susceptibility testing in 265 Escherichia coli (E. coli) isolates from the water samples; polymerase chain reactions were used to detect antibiotic resistance genes. --- Results: The majority of hospital staff showed good knowledge of infection control and had good or adequate practice scores. Median knowledge scores were 11.8 (6.8-13.9) and 12 (1.4- 14.5) (p=0.17); median practice </w:t>
      </w:r>
      <w:r w:rsidRPr="00620A5E">
        <w:rPr>
          <w:rFonts w:eastAsia="Times New Roman"/>
        </w:rPr>
        <w:lastRenderedPageBreak/>
        <w:t>scores were 11.4 (4.7-15.0) and 12.4 (1.0-15.0) in the rural and the urban hospitals respectively (p=0.003). Cleaning workers had lower knowledge as well as practice scores than doctors and nurses (I). The staff acknowledged poor infection control practices during interviews and groups discussions. They pointed out various difficulties but were not aware of the situation of healthcare-associated infections in their hospitals (II). In hospital wastewater samples, studied antibiotics were present both before and after wastewater treatment: 70.5μg/L before treatment and 34.0μg/L after treatment per month in the rural hospital; 93.5μg/L before treatment and 32.4μg/L after treatment per month in the urban hospital. A significant correlation with the quantities used was found for ciprofloxacin (r = 0.78; p = 0.01) and metronidazole (r = 0.99; p &lt; 0.001) (III). Resistance to at least one of the studied antibiotics was detected in 83% of E. coli isolates; multidrug resistance was found in 32%. The highest resistance prevalence was found for co-trimoxazole (70%). Forty-three percent of isolates were ESBL-producing, with the blaTEM gene being more common than blaCTX-M. Co-harbouring of the blaCTX-M, blaTEM and qepA genes was found in 46% of isolates resistant to ciprofloxacin (IV). --- Conclusions: Hospital staff was generally knowledgeable about infection control, but was not aware of the situation in their own hospital. Although practice scores were good or adequate for the majority of the staff, in fact, the practices seem to remain poor. Antibiotic residues were present in hospital wastewater both before and after wastewater treatment at concentrations that can promote the development of antibiotic resistance. Antibiotic-resistant E. coli along with genes coding for cephalosporin resistance blaCTX-M and blaTEM, and a gene coding for ciprofloxacin resistance qepA were highly prevalent among the isolates.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54"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72" w:name="m_-9074501289396108005__Toc508808220"/>
      <w:r w:rsidRPr="00620A5E">
        <w:rPr>
          <w:rFonts w:ascii="Calibri" w:eastAsia="Times New Roman" w:hAnsi="Calibri"/>
          <w:b/>
          <w:bCs/>
          <w:color w:val="800000"/>
          <w:sz w:val="22"/>
          <w:szCs w:val="22"/>
        </w:rPr>
        <w:t>Medical Abortion Provision by Pharmacies and Drug Sellers in Low- and Middle-Income Countries: A Systematic Review.</w:t>
      </w:r>
      <w:bookmarkEnd w:id="72"/>
    </w:p>
    <w:p w:rsidR="00620A5E" w:rsidRPr="00620A5E" w:rsidRDefault="00620A5E" w:rsidP="00620A5E">
      <w:pPr>
        <w:spacing w:before="100" w:beforeAutospacing="1"/>
        <w:rPr>
          <w:rFonts w:eastAsia="Times New Roman"/>
        </w:rPr>
      </w:pPr>
      <w:r w:rsidRPr="00620A5E">
        <w:rPr>
          <w:rFonts w:eastAsia="Times New Roman"/>
        </w:rPr>
        <w:t xml:space="preserve">Katharine Footman, Katherine Keenan, Kate Reiss, Barbara Reichwein, Pritha Biswas and others. </w:t>
      </w:r>
      <w:proofErr w:type="gramStart"/>
      <w:r w:rsidRPr="00620A5E">
        <w:rPr>
          <w:rFonts w:eastAsia="Times New Roman"/>
        </w:rPr>
        <w:t>Studies in Family Planning, 2018, volume 49, number 1, pp. 57-70.</w:t>
      </w:r>
      <w:proofErr w:type="gramEnd"/>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We undertook a systematic review to assess 1) the level and quality of pharmacy and drug shop provision of medical abortion (MA) in low- and middle-income countries (LMICs) and 2) interventions to improve quality of provision. We used standardized terms to search six databases for peer-reviewed and grey literature. </w:t>
      </w:r>
      <w:proofErr w:type="gramStart"/>
      <w:r w:rsidRPr="00620A5E">
        <w:rPr>
          <w:rFonts w:eastAsia="Times New Roman"/>
        </w:rPr>
        <w:t>We double-extracted data using a standardized template, and double-graded studies for methodological quality.</w:t>
      </w:r>
      <w:proofErr w:type="gramEnd"/>
      <w:r w:rsidRPr="00620A5E">
        <w:rPr>
          <w:rFonts w:eastAsia="Times New Roman"/>
        </w:rPr>
        <w:t xml:space="preserve"> We identified 22 studies from 16 countries reporting on level and quality of MA provision through pharmacies and drug sellers, and three intervention studies. Despite widespread awareness and provision of MA drugs, even in legally restricted contexts, most studies found that pharmacy workers and drug sellers had poor knowledge of effective regimens. Evidence on interventions to improve pharmacy and drug shop provision of MA was limited and generally low quality, but indicated that training could be effective in improving knowledge. Programmatic attention should focus on the development and </w:t>
      </w:r>
      <w:r w:rsidRPr="00620A5E">
        <w:rPr>
          <w:rFonts w:eastAsia="Times New Roman"/>
        </w:rPr>
        <w:lastRenderedPageBreak/>
        <w:t>rigorous evaluation of innovative interventions to improve women's access to information about MA self-management in low-and middle-income countries.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after="100" w:afterAutospacing="1"/>
        <w:outlineLvl w:val="0"/>
        <w:rPr>
          <w:rFonts w:eastAsia="Times New Roman"/>
          <w:b/>
          <w:bCs/>
          <w:kern w:val="36"/>
          <w:sz w:val="48"/>
          <w:szCs w:val="48"/>
        </w:rPr>
      </w:pPr>
      <w:bookmarkStart w:id="73" w:name="m_-9074501289396108005__Toc508808221"/>
      <w:r w:rsidRPr="00620A5E">
        <w:rPr>
          <w:rFonts w:eastAsia="Times New Roman"/>
          <w:b/>
          <w:bCs/>
          <w:kern w:val="36"/>
          <w:sz w:val="48"/>
          <w:szCs w:val="48"/>
          <w:shd w:val="clear" w:color="auto" w:fill="D3D3D3"/>
        </w:rPr>
        <w:t>Urban development</w:t>
      </w:r>
      <w:bookmarkEnd w:id="73"/>
      <w:r w:rsidRPr="00620A5E">
        <w:rPr>
          <w:rFonts w:eastAsia="Times New Roman"/>
          <w:b/>
          <w:bCs/>
          <w:kern w:val="36"/>
          <w:sz w:val="48"/>
          <w:szCs w:val="48"/>
          <w:shd w:val="clear" w:color="auto" w:fill="D3D3D3"/>
        </w:rPr>
        <w:t xml:space="preserve"> </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74" w:name="m_-9074501289396108005__Toc508808222"/>
      <w:proofErr w:type="gramStart"/>
      <w:r w:rsidRPr="00620A5E">
        <w:rPr>
          <w:rFonts w:ascii="Calibri" w:eastAsia="Times New Roman" w:hAnsi="Calibri"/>
          <w:b/>
          <w:bCs/>
          <w:color w:val="800000"/>
          <w:sz w:val="22"/>
          <w:szCs w:val="22"/>
        </w:rPr>
        <w:t>Multiscale remote sensing of urbanization in Ho Chi Minh city, Vietnam - A focused study of the south.</w:t>
      </w:r>
      <w:bookmarkEnd w:id="74"/>
      <w:proofErr w:type="gramEnd"/>
    </w:p>
    <w:p w:rsidR="00620A5E" w:rsidRPr="00620A5E" w:rsidRDefault="00620A5E" w:rsidP="00620A5E">
      <w:pPr>
        <w:spacing w:before="100" w:beforeAutospacing="1"/>
        <w:rPr>
          <w:rFonts w:eastAsia="Times New Roman"/>
        </w:rPr>
      </w:pPr>
      <w:r w:rsidRPr="00620A5E">
        <w:rPr>
          <w:rFonts w:eastAsia="Times New Roman"/>
        </w:rPr>
        <w:t xml:space="preserve">Tuong-Thuy Vu, Pham Thi Mai Thy and Lam Đao Nguyen. </w:t>
      </w:r>
      <w:proofErr w:type="gramStart"/>
      <w:r w:rsidRPr="00620A5E">
        <w:rPr>
          <w:rFonts w:eastAsia="Times New Roman"/>
        </w:rPr>
        <w:t>Applied Geography, 2018, volume 92, pp. 168-181.</w:t>
      </w:r>
      <w:proofErr w:type="gramEnd"/>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This study focuses on monitoring and mapping the urbanization process in the south of Ho Chi Minh City, Vietnam. Among the most vulnerable cities worldwide due to climate change, Ho Chi Minh </w:t>
      </w:r>
      <w:proofErr w:type="gramStart"/>
      <w:r w:rsidRPr="00620A5E">
        <w:rPr>
          <w:rFonts w:eastAsia="Times New Roman"/>
        </w:rPr>
        <w:t>city</w:t>
      </w:r>
      <w:proofErr w:type="gramEnd"/>
      <w:r w:rsidRPr="00620A5E">
        <w:rPr>
          <w:rFonts w:eastAsia="Times New Roman"/>
        </w:rPr>
        <w:t xml:space="preserve"> is experiencing the fast urbanization in last decades, especially in the south, a wetland area. The severe environmental impact such as flood has occurred more frequently implying the critical infrastructures development is far behind the expansion of newly built-up residences and hence, growing population. To what extent, the newly built-up areas have contributed to accelerating the environmental impacts in the context of climate change? The aim of this study is twofold. Firstly, we experiment three different levels of spatial resolution, sub-meter, 2.5 m and 10–15 m in mapping the landcover changes of a selected typical fast urbanization area in 2000–2010. With all about 80% classification accuracy achievement, we found that sub-meter resolution is the best for a reliable identification of land cover changes in such complex and fast-growing built-up areas whereas 2.5 m resolution is sufficient to identify the extent of built-up areas and 10–15 m is unsuitable. We also confirmed a consistent expansion, over 25%, of built-up area in our study area, using three different resolutions in spite of small differences in other landcover types. Secondly, in comparison of ground data, we revealed that most of the newly built-up areas in 2000–2010 were built on the higher land and no flood incident was recorded obviously. However, the nearby lowland experienced more floods due to the changes. A slight increase of sea level and the sinking of the city due to the groundwater extraction may also contribute to more flood incidents. Remote sensing proved to be effective in revealing the temporal urbanization and its possible consequences. However, a holistic approach to investigation needs to be developed to better understand the contribution of anthropogenic activities to environmental impacts in the climate change context.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55"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after="100" w:afterAutospacing="1"/>
        <w:outlineLvl w:val="0"/>
        <w:rPr>
          <w:rFonts w:eastAsia="Times New Roman"/>
          <w:b/>
          <w:bCs/>
          <w:kern w:val="36"/>
          <w:sz w:val="48"/>
          <w:szCs w:val="48"/>
        </w:rPr>
      </w:pPr>
      <w:bookmarkStart w:id="75" w:name="m_-9074501289396108005__Toc508808223"/>
      <w:r w:rsidRPr="00620A5E">
        <w:rPr>
          <w:rFonts w:eastAsia="Times New Roman"/>
          <w:b/>
          <w:bCs/>
          <w:kern w:val="36"/>
          <w:sz w:val="48"/>
          <w:szCs w:val="48"/>
          <w:shd w:val="clear" w:color="auto" w:fill="D3D3D3"/>
        </w:rPr>
        <w:lastRenderedPageBreak/>
        <w:t>Labor</w:t>
      </w:r>
      <w:bookmarkEnd w:id="75"/>
      <w:r w:rsidRPr="00620A5E">
        <w:rPr>
          <w:rFonts w:eastAsia="Times New Roman"/>
          <w:b/>
          <w:bCs/>
          <w:kern w:val="36"/>
          <w:sz w:val="48"/>
          <w:szCs w:val="48"/>
          <w:shd w:val="clear" w:color="auto" w:fill="D3D3D3"/>
        </w:rPr>
        <w:t xml:space="preserve"> </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76" w:name="m_-9074501289396108005__Toc508808224"/>
      <w:r w:rsidRPr="00620A5E">
        <w:rPr>
          <w:rFonts w:ascii="Calibri" w:eastAsia="Times New Roman" w:hAnsi="Calibri"/>
          <w:b/>
          <w:bCs/>
          <w:color w:val="800000"/>
          <w:sz w:val="22"/>
          <w:szCs w:val="22"/>
        </w:rPr>
        <w:t>Labour Law and (In</w:t>
      </w:r>
      <w:proofErr w:type="gramStart"/>
      <w:r w:rsidRPr="00620A5E">
        <w:rPr>
          <w:rFonts w:ascii="Calibri" w:eastAsia="Times New Roman" w:hAnsi="Calibri"/>
          <w:b/>
          <w:bCs/>
          <w:color w:val="800000"/>
          <w:sz w:val="22"/>
          <w:szCs w:val="22"/>
        </w:rPr>
        <w:t>)justice</w:t>
      </w:r>
      <w:proofErr w:type="gramEnd"/>
      <w:r w:rsidRPr="00620A5E">
        <w:rPr>
          <w:rFonts w:ascii="Calibri" w:eastAsia="Times New Roman" w:hAnsi="Calibri"/>
          <w:b/>
          <w:bCs/>
          <w:color w:val="800000"/>
          <w:sz w:val="22"/>
          <w:szCs w:val="22"/>
        </w:rPr>
        <w:t xml:space="preserve"> in Workers’ Letters in Vietnam.</w:t>
      </w:r>
      <w:bookmarkEnd w:id="76"/>
    </w:p>
    <w:p w:rsidR="00620A5E" w:rsidRPr="00620A5E" w:rsidRDefault="00620A5E" w:rsidP="00620A5E">
      <w:pPr>
        <w:spacing w:before="100" w:beforeAutospacing="1"/>
        <w:rPr>
          <w:rFonts w:eastAsia="Times New Roman"/>
        </w:rPr>
      </w:pPr>
      <w:r w:rsidRPr="00620A5E">
        <w:rPr>
          <w:rFonts w:eastAsia="Times New Roman"/>
        </w:rPr>
        <w:t>Tu Phuong Nguyen. Asian Journal of Law and Society, 2017, pp. 1-19.</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This article explores whether and how labour law matters in factory workers’ grievances and demands in their letters sent to the unions and state authorities in Đồng Nai Province, an industrial hub in the south of Vietnam. An examination of the letters demonstrates that the legalistic language of rights and other provisions in the Labour Code plays little role in shaping workers’ accounts. A majority of letter writers instead referred to moral aspects of subsistence, reciprocity, and their subjective views of fairness to make their claims. Yet the moral constructions of workers’ claims may overlap and derive from values imbricated within the Labour Code. These observations raise the need to consider the subtle way in which law generates workers’ resistance against management and/or the state, as well as the fluid boundary between law and morality in workers’ narratives of (in)justice.</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after="100" w:afterAutospacing="1"/>
        <w:outlineLvl w:val="0"/>
        <w:rPr>
          <w:rFonts w:eastAsia="Times New Roman"/>
          <w:b/>
          <w:bCs/>
          <w:kern w:val="36"/>
          <w:sz w:val="48"/>
          <w:szCs w:val="48"/>
        </w:rPr>
      </w:pPr>
      <w:bookmarkStart w:id="77" w:name="m_-9074501289396108005__Toc508808225"/>
      <w:r w:rsidRPr="00620A5E">
        <w:rPr>
          <w:rFonts w:eastAsia="Times New Roman"/>
          <w:b/>
          <w:bCs/>
          <w:kern w:val="36"/>
          <w:sz w:val="48"/>
          <w:szCs w:val="48"/>
          <w:shd w:val="clear" w:color="auto" w:fill="D3D3D3"/>
        </w:rPr>
        <w:t>Poverty</w:t>
      </w:r>
      <w:bookmarkEnd w:id="77"/>
      <w:r w:rsidRPr="00620A5E">
        <w:rPr>
          <w:rFonts w:eastAsia="Times New Roman"/>
          <w:b/>
          <w:bCs/>
          <w:kern w:val="36"/>
          <w:sz w:val="48"/>
          <w:szCs w:val="48"/>
          <w:shd w:val="clear" w:color="auto" w:fill="D3D3D3"/>
        </w:rPr>
        <w:t xml:space="preserve"> </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78" w:name="m_-9074501289396108005__Toc508808226"/>
      <w:r w:rsidRPr="00620A5E">
        <w:rPr>
          <w:rFonts w:ascii="Calibri" w:eastAsia="Times New Roman" w:hAnsi="Calibri"/>
          <w:b/>
          <w:bCs/>
          <w:color w:val="800000"/>
          <w:sz w:val="22"/>
          <w:szCs w:val="22"/>
        </w:rPr>
        <w:t>Access to Preferential Loans for Poverty Reduction and Rural Development: Evidence from Vietnam.</w:t>
      </w:r>
      <w:bookmarkEnd w:id="78"/>
    </w:p>
    <w:p w:rsidR="00620A5E" w:rsidRPr="00620A5E" w:rsidRDefault="00620A5E" w:rsidP="00620A5E">
      <w:pPr>
        <w:spacing w:before="100" w:beforeAutospacing="1"/>
        <w:rPr>
          <w:rFonts w:eastAsia="Times New Roman"/>
        </w:rPr>
      </w:pPr>
      <w:proofErr w:type="gramStart"/>
      <w:r w:rsidRPr="00620A5E">
        <w:rPr>
          <w:rFonts w:eastAsia="Times New Roman"/>
        </w:rPr>
        <w:t>Lan Thanh Nguyen, Anh Pham Hoai Nguyen, Steven van Passel, Hossein Azadi and Philippe Lebailly.</w:t>
      </w:r>
      <w:proofErr w:type="gramEnd"/>
      <w:r w:rsidRPr="00620A5E">
        <w:rPr>
          <w:rFonts w:eastAsia="Times New Roman"/>
        </w:rPr>
        <w:t xml:space="preserve"> Journal of Economic Issues, 2018, volume 52, number 1.</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Preferential loans play an important role in the process of reducing poverty in developing countries. Considering the data set from the 2010 Vietnam Household Living Standards Survey, we aim to examine the influential factors in probability of households getting access to preferential loans. Additionally, we analyze the determinants of household income in association with the loans by applying a quantile regression model. Our results show that ethnicity-related factors have the largest marginal effect on the access to preferential loans. The results from the quantile regression model demonstrate that the debt factor has a deeper impact on the borrowing group at the lower quantiles of household income.</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56"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lastRenderedPageBreak/>
        <w:t> </w:t>
      </w:r>
    </w:p>
    <w:p w:rsidR="00620A5E" w:rsidRPr="00620A5E" w:rsidRDefault="00620A5E" w:rsidP="00620A5E">
      <w:pPr>
        <w:outlineLvl w:val="1"/>
        <w:rPr>
          <w:rFonts w:eastAsia="Times New Roman"/>
          <w:b/>
          <w:bCs/>
          <w:sz w:val="36"/>
          <w:szCs w:val="36"/>
        </w:rPr>
      </w:pPr>
      <w:bookmarkStart w:id="79" w:name="m_-9074501289396108005__Toc508808227"/>
      <w:r w:rsidRPr="00620A5E">
        <w:rPr>
          <w:rFonts w:ascii="Calibri" w:eastAsia="Times New Roman" w:hAnsi="Calibri"/>
          <w:b/>
          <w:bCs/>
          <w:color w:val="800000"/>
          <w:sz w:val="22"/>
          <w:szCs w:val="22"/>
        </w:rPr>
        <w:t>Dynamics of Spatial Inequality and Poverty: Evidence from Two Decades of Surveys in Vietnam, 1993-2014.</w:t>
      </w:r>
      <w:bookmarkEnd w:id="79"/>
    </w:p>
    <w:p w:rsidR="00620A5E" w:rsidRPr="00620A5E" w:rsidRDefault="00620A5E" w:rsidP="00620A5E">
      <w:pPr>
        <w:spacing w:before="100" w:beforeAutospacing="1"/>
        <w:rPr>
          <w:rFonts w:eastAsia="Times New Roman"/>
        </w:rPr>
      </w:pPr>
      <w:r w:rsidRPr="00620A5E">
        <w:rPr>
          <w:rFonts w:eastAsia="Times New Roman"/>
        </w:rPr>
        <w:t xml:space="preserve">Takahiro Yamada. </w:t>
      </w:r>
      <w:proofErr w:type="gramStart"/>
      <w:r w:rsidRPr="00620A5E">
        <w:rPr>
          <w:rFonts w:eastAsia="Times New Roman"/>
        </w:rPr>
        <w:t>Economics Bulletin, 2018, volume 38, number 1, pp. 404-418.</w:t>
      </w:r>
      <w:proofErr w:type="gramEnd"/>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57" w:tgtFrame="_blank" w:history="1">
        <w:r w:rsidRPr="00620A5E">
          <w:rPr>
            <w:rFonts w:eastAsia="Times New Roman"/>
            <w:color w:val="0000FF"/>
            <w:u w:val="single"/>
          </w:rPr>
          <w:t>https://ideas.repec.org/a/ebl/ecbull/eb-17-00838.html</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This paper verifies the dynamics of spatial inequality and poverty, notably for the bottom 40 percent of the population in Vietnam, during the period of 1993-2014. According to Theil T and Blinder-Oaxaca decompositions, expenditure inequalities of urban-rural and between regions were diverging from 1993 to 2004 along with the urban concentration on economic growth, but they were converging from 2004 to 2014 partly backed by the substantial increase of domestic remittances. Meanwhile, inequalities within areas and regions were continuously diverging from 1993 to 2014, which are likely to reflect the difference in main covariates. The urban-rural expenditure gap is mainly explained by years of education, job sector, and ethnic minority status of the household head, and remittances over the duration. For the determinants of poverty of the bottom 40 percent of the population, years of education, service sector job and remittances, among others, largely and positively explained the dynamics based on the quantile regression estimation results. Ethnic minorities have been still left behind from the benefits of economic growth relative to the majority Kinhâ€“remaining space for policy intervention.</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after="100" w:afterAutospacing="1"/>
        <w:outlineLvl w:val="0"/>
        <w:rPr>
          <w:rFonts w:eastAsia="Times New Roman"/>
          <w:b/>
          <w:bCs/>
          <w:kern w:val="36"/>
          <w:sz w:val="48"/>
          <w:szCs w:val="48"/>
        </w:rPr>
      </w:pPr>
      <w:bookmarkStart w:id="80" w:name="m_-9074501289396108005__Toc508808228"/>
      <w:r w:rsidRPr="00620A5E">
        <w:rPr>
          <w:rFonts w:eastAsia="Times New Roman"/>
          <w:b/>
          <w:bCs/>
          <w:kern w:val="36"/>
          <w:sz w:val="48"/>
          <w:szCs w:val="48"/>
          <w:shd w:val="clear" w:color="auto" w:fill="D3D3D3"/>
        </w:rPr>
        <w:t>Social development</w:t>
      </w:r>
      <w:bookmarkEnd w:id="80"/>
      <w:r w:rsidRPr="00620A5E">
        <w:rPr>
          <w:rFonts w:eastAsia="Times New Roman"/>
          <w:b/>
          <w:bCs/>
          <w:kern w:val="36"/>
          <w:sz w:val="48"/>
          <w:szCs w:val="48"/>
          <w:shd w:val="clear" w:color="auto" w:fill="D3D3D3"/>
        </w:rPr>
        <w:t xml:space="preserve"> </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81" w:name="m_-9074501289396108005__Toc508808229"/>
      <w:r w:rsidRPr="00620A5E">
        <w:rPr>
          <w:rFonts w:ascii="Calibri" w:eastAsia="Times New Roman" w:hAnsi="Calibri"/>
          <w:b/>
          <w:bCs/>
          <w:color w:val="800000"/>
          <w:sz w:val="22"/>
          <w:szCs w:val="22"/>
        </w:rPr>
        <w:t>Social Security and Firm Performance: The Case of Vietnamese SMEs.</w:t>
      </w:r>
      <w:bookmarkEnd w:id="81"/>
    </w:p>
    <w:p w:rsidR="00620A5E" w:rsidRPr="00620A5E" w:rsidRDefault="00620A5E" w:rsidP="00620A5E">
      <w:pPr>
        <w:spacing w:before="100" w:beforeAutospacing="1"/>
        <w:rPr>
          <w:rFonts w:eastAsia="Times New Roman"/>
        </w:rPr>
      </w:pPr>
      <w:proofErr w:type="gramStart"/>
      <w:r w:rsidRPr="00620A5E">
        <w:rPr>
          <w:rFonts w:eastAsia="Times New Roman"/>
        </w:rPr>
        <w:t>Sangheon Lee and Nina Torm.</w:t>
      </w:r>
      <w:proofErr w:type="gramEnd"/>
      <w:r w:rsidRPr="00620A5E">
        <w:rPr>
          <w:rFonts w:eastAsia="Times New Roman"/>
        </w:rPr>
        <w:t xml:space="preserve"> International Labour Review, 2017, volume 156, number 2.</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This article investigates how social security provision--a key determinant of formality--impacts on small- and medium-sized firm performance in Viet Nam. Based on enterprise census data covering all registered firms from 2006 to 2011, the authors find that firms which increase their social security coverage by 10 per cent experience a revenue gain of 1.4-2.0 per cent per worker and a profit gain of up to 1.8 per cent, depending on the survival time of the firm. </w:t>
      </w:r>
      <w:proofErr w:type="gramStart"/>
      <w:r w:rsidRPr="00620A5E">
        <w:rPr>
          <w:rFonts w:eastAsia="Times New Roman"/>
        </w:rPr>
        <w:t>However, given the time lag between "investment" (in social security contributions) and returns (enhanced firm performance), specific policy measures such as initial social insurance subsidies for small firms could increase participation in mandatory schemes.</w:t>
      </w:r>
      <w:proofErr w:type="gramEnd"/>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82" w:name="m_-9074501289396108005__Toc508808230"/>
      <w:proofErr w:type="gramStart"/>
      <w:r w:rsidRPr="00620A5E">
        <w:rPr>
          <w:rFonts w:ascii="Calibri" w:eastAsia="Times New Roman" w:hAnsi="Calibri"/>
          <w:b/>
          <w:bCs/>
          <w:color w:val="800000"/>
          <w:sz w:val="22"/>
          <w:szCs w:val="22"/>
        </w:rPr>
        <w:lastRenderedPageBreak/>
        <w:t>Cultivating Consumer Markets: Ethnic Minority Traders and the Refashioning of Cultural Commodities in the Sino-Vietnamese Border Uplands.</w:t>
      </w:r>
      <w:bookmarkEnd w:id="82"/>
      <w:proofErr w:type="gramEnd"/>
    </w:p>
    <w:p w:rsidR="00620A5E" w:rsidRPr="00620A5E" w:rsidRDefault="00620A5E" w:rsidP="00620A5E">
      <w:pPr>
        <w:spacing w:before="100" w:beforeAutospacing="1"/>
        <w:rPr>
          <w:rFonts w:eastAsia="Times New Roman"/>
        </w:rPr>
      </w:pPr>
      <w:r w:rsidRPr="00620A5E">
        <w:rPr>
          <w:rFonts w:eastAsia="Times New Roman"/>
        </w:rPr>
        <w:t xml:space="preserve">Christine Bonnin. </w:t>
      </w:r>
      <w:proofErr w:type="gramStart"/>
      <w:r w:rsidRPr="00620A5E">
        <w:rPr>
          <w:rFonts w:eastAsia="Times New Roman"/>
        </w:rPr>
        <w:t>Routledge Handbook of Asian Borderlands, 2018.</w:t>
      </w:r>
      <w:proofErr w:type="gramEnd"/>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83" w:name="m_-9074501289396108005__Toc508808231"/>
      <w:proofErr w:type="gramStart"/>
      <w:r w:rsidRPr="00620A5E">
        <w:rPr>
          <w:rFonts w:ascii="Calibri" w:eastAsia="Times New Roman" w:hAnsi="Calibri"/>
          <w:b/>
          <w:bCs/>
          <w:color w:val="800000"/>
          <w:sz w:val="22"/>
          <w:szCs w:val="22"/>
        </w:rPr>
        <w:t>Discourses on alleged deception strategies among traders in the Sino–Vietnamese borderlands.</w:t>
      </w:r>
      <w:bookmarkEnd w:id="83"/>
      <w:proofErr w:type="gramEnd"/>
    </w:p>
    <w:p w:rsidR="00620A5E" w:rsidRPr="00620A5E" w:rsidRDefault="00620A5E" w:rsidP="00620A5E">
      <w:pPr>
        <w:spacing w:before="100" w:beforeAutospacing="1"/>
        <w:rPr>
          <w:rFonts w:eastAsia="Times New Roman"/>
        </w:rPr>
      </w:pPr>
      <w:r w:rsidRPr="00620A5E">
        <w:rPr>
          <w:rFonts w:eastAsia="Times New Roman"/>
        </w:rPr>
        <w:t xml:space="preserve">Caroline Grillot. </w:t>
      </w:r>
      <w:proofErr w:type="gramStart"/>
      <w:r w:rsidRPr="00620A5E">
        <w:rPr>
          <w:rFonts w:eastAsia="Times New Roman"/>
        </w:rPr>
        <w:t>Routledge Handbook of Asian Borderlands, 2018.</w:t>
      </w:r>
      <w:proofErr w:type="gramEnd"/>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84" w:name="m_-9074501289396108005__Toc508808232"/>
      <w:r w:rsidRPr="00620A5E">
        <w:rPr>
          <w:rFonts w:ascii="Calibri" w:eastAsia="Times New Roman" w:hAnsi="Calibri"/>
          <w:b/>
          <w:bCs/>
          <w:color w:val="800000"/>
          <w:sz w:val="22"/>
          <w:szCs w:val="22"/>
        </w:rPr>
        <w:t>Ethnic minority traders and the refashioning of cultural commodities in the Sino–Vietnamese border uplands.</w:t>
      </w:r>
      <w:bookmarkEnd w:id="84"/>
    </w:p>
    <w:p w:rsidR="00620A5E" w:rsidRPr="00620A5E" w:rsidRDefault="00620A5E" w:rsidP="00620A5E">
      <w:pPr>
        <w:spacing w:before="100" w:beforeAutospacing="1"/>
        <w:rPr>
          <w:rFonts w:eastAsia="Times New Roman"/>
        </w:rPr>
      </w:pPr>
      <w:r w:rsidRPr="00620A5E">
        <w:rPr>
          <w:rFonts w:eastAsia="Times New Roman"/>
        </w:rPr>
        <w:t xml:space="preserve">Christine Bonnin. </w:t>
      </w:r>
      <w:proofErr w:type="gramStart"/>
      <w:r w:rsidRPr="00620A5E">
        <w:rPr>
          <w:rFonts w:eastAsia="Times New Roman"/>
        </w:rPr>
        <w:t>Routledge Handbook of Asian Borderlands, 2018.</w:t>
      </w:r>
      <w:proofErr w:type="gramEnd"/>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58"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after="100" w:afterAutospacing="1"/>
        <w:outlineLvl w:val="0"/>
        <w:rPr>
          <w:rFonts w:eastAsia="Times New Roman"/>
          <w:b/>
          <w:bCs/>
          <w:kern w:val="36"/>
          <w:sz w:val="48"/>
          <w:szCs w:val="48"/>
        </w:rPr>
      </w:pPr>
      <w:bookmarkStart w:id="85" w:name="m_-9074501289396108005__Toc508808233"/>
      <w:r w:rsidRPr="00620A5E">
        <w:rPr>
          <w:rFonts w:eastAsia="Times New Roman"/>
          <w:b/>
          <w:bCs/>
          <w:kern w:val="36"/>
          <w:sz w:val="48"/>
          <w:szCs w:val="48"/>
          <w:shd w:val="clear" w:color="auto" w:fill="D3D3D3"/>
        </w:rPr>
        <w:t>Water</w:t>
      </w:r>
      <w:bookmarkEnd w:id="85"/>
      <w:r w:rsidRPr="00620A5E">
        <w:rPr>
          <w:rFonts w:eastAsia="Times New Roman"/>
          <w:b/>
          <w:bCs/>
          <w:kern w:val="36"/>
          <w:sz w:val="48"/>
          <w:szCs w:val="48"/>
          <w:shd w:val="clear" w:color="auto" w:fill="D3D3D3"/>
        </w:rPr>
        <w:t xml:space="preserve"> </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86" w:name="m_-9074501289396108005__Toc508808234"/>
      <w:r w:rsidRPr="00620A5E">
        <w:rPr>
          <w:rFonts w:ascii="Calibri" w:eastAsia="Times New Roman" w:hAnsi="Calibri"/>
          <w:b/>
          <w:bCs/>
          <w:color w:val="800000"/>
          <w:sz w:val="22"/>
          <w:szCs w:val="22"/>
        </w:rPr>
        <w:t>Decision-making for systemic water risks: Insights from a participatory risk assessment process in Vietnam.</w:t>
      </w:r>
      <w:bookmarkEnd w:id="86"/>
    </w:p>
    <w:p w:rsidR="00620A5E" w:rsidRPr="00620A5E" w:rsidRDefault="00620A5E" w:rsidP="00620A5E">
      <w:pPr>
        <w:spacing w:before="100" w:beforeAutospacing="1"/>
        <w:rPr>
          <w:rFonts w:eastAsia="Times New Roman"/>
        </w:rPr>
      </w:pPr>
      <w:r w:rsidRPr="00620A5E">
        <w:rPr>
          <w:rFonts w:eastAsia="Times New Roman"/>
        </w:rPr>
        <w:t xml:space="preserve">Paul R. Wyrwoll, R. Quentin Grafton, Katherine A. Daniell, Hoang Long Chu, Claudia Ringler and others. </w:t>
      </w:r>
      <w:proofErr w:type="gramStart"/>
      <w:r w:rsidRPr="00620A5E">
        <w:rPr>
          <w:rFonts w:eastAsia="Times New Roman"/>
        </w:rPr>
        <w:t>Earth's Future, 2018.</w:t>
      </w:r>
      <w:proofErr w:type="gramEnd"/>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59" w:tgtFrame="_blank" w:history="1">
        <w:r w:rsidRPr="00620A5E">
          <w:rPr>
            <w:rFonts w:eastAsia="Times New Roman"/>
            <w:color w:val="0000FF"/>
            <w:u w:val="single"/>
          </w:rPr>
          <w:t>http://onlinelibrary.wiley.com/doi/10.1002/2017EF000777/pdf</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Systemic threats to food-energy-environment-water systems require national policy responses. Yet complete control of these complex systems is impossible and attempts to mitigate systemic risks can generate unexpected feedback effects. Perverse outcomes from national policy can emerge from the diverse responses of decision-makers across different levels and scales of resource governance. Participatory risk assessment processes can help planners to understand sub-national dynamics and ensure that policies do not undermine the resilience of socialecological systems and infrastructure networks. Researchers can play an important role in participatory processes as both technical specialists and brokers of stakeholder knowledge on the feedbacks generated by systemic risks and policy decisions. Here, we evaluate the use of</w:t>
      </w:r>
      <w:proofErr w:type="gramStart"/>
      <w:r w:rsidRPr="00620A5E">
        <w:rPr>
          <w:rFonts w:eastAsia="Times New Roman"/>
        </w:rPr>
        <w:t>  causal</w:t>
      </w:r>
      <w:proofErr w:type="gramEnd"/>
      <w:r w:rsidRPr="00620A5E">
        <w:rPr>
          <w:rFonts w:eastAsia="Times New Roman"/>
        </w:rPr>
        <w:t xml:space="preserve"> modeling and participatory risk assessment to develop national policy on systemic water risks. </w:t>
      </w:r>
      <w:r w:rsidRPr="00620A5E">
        <w:rPr>
          <w:rFonts w:eastAsia="Times New Roman"/>
        </w:rPr>
        <w:lastRenderedPageBreak/>
        <w:t>We present an application of the Risks and Options Assessment for Decision-Making (ROAD) process to a district of Vietnam where national agricultural water reforms are being piloted. The methods and results of this project provide general insights about how to support resilient decision-making, including the transfer of knowledge across administrative levels, identification of feedback effects, and the effective implementation of risk assessment processes.</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87" w:name="m_-9074501289396108005__Toc508808235"/>
      <w:r w:rsidRPr="00620A5E">
        <w:rPr>
          <w:rFonts w:ascii="Calibri" w:eastAsia="Times New Roman" w:hAnsi="Calibri"/>
          <w:b/>
          <w:bCs/>
          <w:color w:val="800000"/>
          <w:sz w:val="22"/>
          <w:szCs w:val="22"/>
        </w:rPr>
        <w:t>Desalination of brackish water for agriculture: Challenges and future perspectives for seawater intrusion areas in Vietnam.</w:t>
      </w:r>
      <w:bookmarkEnd w:id="87"/>
    </w:p>
    <w:p w:rsidR="00620A5E" w:rsidRPr="00620A5E" w:rsidRDefault="00620A5E" w:rsidP="00620A5E">
      <w:pPr>
        <w:spacing w:before="100" w:beforeAutospacing="1"/>
        <w:rPr>
          <w:rFonts w:eastAsia="Times New Roman"/>
        </w:rPr>
      </w:pPr>
      <w:proofErr w:type="gramStart"/>
      <w:r w:rsidRPr="00620A5E">
        <w:rPr>
          <w:rFonts w:eastAsia="Times New Roman"/>
        </w:rPr>
        <w:t>Vo</w:t>
      </w:r>
      <w:proofErr w:type="gramEnd"/>
      <w:r w:rsidRPr="00620A5E">
        <w:rPr>
          <w:rFonts w:eastAsia="Times New Roman"/>
        </w:rPr>
        <w:t xml:space="preserve"> Huu Cong. Journal of Water Supply: Research and Technology - Aqua, 2018.</w:t>
      </w:r>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60" w:tgtFrame="_blank" w:history="1">
        <w:r w:rsidRPr="00620A5E">
          <w:rPr>
            <w:rFonts w:eastAsia="Times New Roman"/>
            <w:color w:val="0000FF"/>
            <w:u w:val="single"/>
          </w:rPr>
          <w:t>http://aqua.iwaponline.com/content/ppiwajwsrt/early/2018/02/21/aqua.2018.094.full.pdf</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Abstract: This research aims to provide an overview of the seawater encroachment threat on agriculture in lowland areas and potential solutions for better practices. It was found that the Mekong river delta experiences severe impacts from climate change with more than 75% of provinces affected by seawater intrusion of which Kien Giang, Ca Mau and Ben Tre provinces are most influenced with 70% affected areas. The salinity of river water was observed in the range of 15–30 g/L in 2015, meanwhile, the strongest tolerated rice species reached ceiling values of 3–4 g/L. Emerging challenges were identified due to the uncertain upstream hydrological regime coupled with high levels of tide, field evaporation and water withdrawal. The development strategies of affected provinces are given on the modification of rice tolerant capacity, altering to aquaculture in area having high salinity, of which water purification is in urgent demand. Desalination technologies have been proposed with various innovations which still not practical on a large scale. The desalination of seawater and brackish water by reverse osmosis, nano-filtration, electro-dialysis, ion-exchange resins, electrochemical process and thermal distillation has been applied for agriculture. The advance reverse osmosis shows most potential because of its advancement in treating performance, cost effectiveness and effective rejection of brine.</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outlineLvl w:val="1"/>
        <w:rPr>
          <w:rFonts w:eastAsia="Times New Roman"/>
          <w:b/>
          <w:bCs/>
          <w:sz w:val="36"/>
          <w:szCs w:val="36"/>
        </w:rPr>
      </w:pPr>
      <w:bookmarkStart w:id="88" w:name="m_-9074501289396108005__Toc508808236"/>
      <w:r w:rsidRPr="00620A5E">
        <w:rPr>
          <w:rFonts w:ascii="Calibri" w:eastAsia="Times New Roman" w:hAnsi="Calibri"/>
          <w:b/>
          <w:bCs/>
          <w:color w:val="800000"/>
          <w:sz w:val="22"/>
          <w:szCs w:val="22"/>
        </w:rPr>
        <w:t>Vietnam’s Future Water Usage Model: A Controlled Living Experiment.</w:t>
      </w:r>
      <w:bookmarkEnd w:id="88"/>
    </w:p>
    <w:p w:rsidR="00620A5E" w:rsidRPr="00620A5E" w:rsidRDefault="00620A5E" w:rsidP="00620A5E">
      <w:pPr>
        <w:spacing w:before="100" w:beforeAutospacing="1"/>
        <w:rPr>
          <w:rFonts w:eastAsia="Times New Roman"/>
        </w:rPr>
      </w:pPr>
      <w:r w:rsidRPr="00620A5E">
        <w:rPr>
          <w:rFonts w:eastAsia="Times New Roman"/>
        </w:rPr>
        <w:t xml:space="preserve">Kanako Toyosada, Takayuki Otani, Yasutoshi Shimizu, Hiroshi Takata, Kazuhiko Sakamoto and others. </w:t>
      </w:r>
      <w:proofErr w:type="gramStart"/>
      <w:r w:rsidRPr="00620A5E">
        <w:rPr>
          <w:rFonts w:eastAsia="Times New Roman"/>
        </w:rPr>
        <w:t>Journal of Water Resource and Protection, 2018, volume 10.</w:t>
      </w:r>
      <w:proofErr w:type="gramEnd"/>
    </w:p>
    <w:p w:rsidR="00620A5E" w:rsidRPr="00620A5E" w:rsidRDefault="00620A5E" w:rsidP="00620A5E">
      <w:pPr>
        <w:spacing w:before="100" w:beforeAutospacing="1"/>
        <w:rPr>
          <w:rFonts w:eastAsia="Times New Roman"/>
        </w:rPr>
      </w:pPr>
      <w:r w:rsidRPr="00620A5E">
        <w:rPr>
          <w:rFonts w:eastAsia="Times New Roman"/>
        </w:rPr>
        <w:t xml:space="preserve">Free full text </w:t>
      </w:r>
      <w:hyperlink r:id="rId61" w:tgtFrame="_blank" w:history="1">
        <w:r w:rsidRPr="00620A5E">
          <w:rPr>
            <w:rFonts w:eastAsia="Times New Roman"/>
            <w:color w:val="0000FF"/>
            <w:u w:val="single"/>
          </w:rPr>
          <w:t>http://www.scirp.org/journal/PaperInformation.aspx?paperID=82791</w:t>
        </w:r>
      </w:hyperlink>
      <w:r w:rsidRPr="00620A5E">
        <w:rPr>
          <w:rFonts w:eastAsia="Times New Roman"/>
        </w:rPr>
        <w:t>.</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Abstract: The purpose of this study was to explore the water usage profile of future Vietnamese households by carrying out a controlled living experiment with Vietnamese high-income </w:t>
      </w:r>
      <w:r w:rsidRPr="00620A5E">
        <w:rPr>
          <w:rFonts w:eastAsia="Times New Roman"/>
        </w:rPr>
        <w:lastRenderedPageBreak/>
        <w:t>households. By studying showering time, flow rate and toilet-use frequency of these households, the study revealed the water usage believed to be representative of future households in light of continued urbanization. This study also determined that the average time of showering was 9.7 minutes per person per day with an average flow rate of 12 L/minute for the existing shower head and 6.6 L/minute for the water-saving shower head. Toilet usage frequency was 5.25 times per person per day, and there was no difference with the results for an average (middle-income) household.</w:t>
      </w:r>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rPr>
        <w:t xml:space="preserve">               </w:t>
      </w:r>
      <w:hyperlink r:id="rId62" w:anchor="m_-9074501289396108005__top" w:history="1">
        <w:hyperlink w:anchor="_top" w:history="1">
          <w:r w:rsidR="00BD3162" w:rsidRPr="00620A5E">
            <w:rPr>
              <w:rFonts w:eastAsia="Times New Roman"/>
              <w:color w:val="0000FF"/>
              <w:u w:val="single"/>
            </w:rPr>
            <w:t>Back to top</w:t>
          </w:r>
        </w:hyperlink>
      </w:hyperlink>
    </w:p>
    <w:p w:rsidR="00620A5E" w:rsidRPr="00620A5E" w:rsidRDefault="00620A5E" w:rsidP="00620A5E">
      <w:pPr>
        <w:spacing w:before="100" w:beforeAutospacing="1"/>
        <w:rPr>
          <w:rFonts w:eastAsia="Times New Roman"/>
        </w:rPr>
      </w:pPr>
      <w:r w:rsidRPr="00620A5E">
        <w:rPr>
          <w:rFonts w:eastAsia="Times New Roman"/>
        </w:rPr>
        <w:t> </w:t>
      </w:r>
    </w:p>
    <w:p w:rsidR="00620A5E" w:rsidRPr="00620A5E" w:rsidRDefault="00620A5E" w:rsidP="00620A5E">
      <w:pPr>
        <w:spacing w:before="100" w:beforeAutospacing="1" w:after="100" w:afterAutospacing="1"/>
        <w:rPr>
          <w:rFonts w:eastAsia="Times New Roman"/>
        </w:rPr>
      </w:pPr>
      <w:r w:rsidRPr="00620A5E">
        <w:rPr>
          <w:rFonts w:eastAsia="Times New Roman"/>
        </w:rPr>
        <w:t> </w:t>
      </w:r>
    </w:p>
    <w:p w:rsidR="00620A5E" w:rsidRPr="00620A5E" w:rsidRDefault="00620A5E" w:rsidP="00620A5E">
      <w:pPr>
        <w:spacing w:before="100" w:beforeAutospacing="1" w:after="100" w:afterAutospacing="1"/>
        <w:rPr>
          <w:rFonts w:eastAsia="Times New Roman"/>
        </w:rPr>
      </w:pPr>
      <w:r w:rsidRPr="00620A5E">
        <w:rPr>
          <w:rFonts w:eastAsia="Times New Roman"/>
        </w:rPr>
        <w:t> </w:t>
      </w:r>
    </w:p>
    <w:p w:rsidR="00620A5E" w:rsidRPr="00620A5E" w:rsidRDefault="00620A5E" w:rsidP="00620A5E">
      <w:pPr>
        <w:spacing w:before="100" w:beforeAutospacing="1"/>
        <w:rPr>
          <w:rFonts w:eastAsia="Times New Roman"/>
        </w:rPr>
      </w:pPr>
      <w:r w:rsidRPr="00620A5E">
        <w:rPr>
          <w:rFonts w:eastAsia="Times New Roman"/>
          <w:color w:val="1F3864"/>
        </w:rPr>
        <w:t> </w:t>
      </w:r>
    </w:p>
    <w:p w:rsidR="00620A5E" w:rsidRPr="00620A5E" w:rsidRDefault="00620A5E" w:rsidP="00620A5E">
      <w:pPr>
        <w:spacing w:before="100" w:beforeAutospacing="1"/>
        <w:rPr>
          <w:rFonts w:eastAsia="Times New Roman"/>
        </w:rPr>
      </w:pPr>
      <w:r w:rsidRPr="00620A5E">
        <w:rPr>
          <w:rFonts w:eastAsia="Times New Roman"/>
          <w:color w:val="1F3864"/>
        </w:rPr>
        <w:t> </w:t>
      </w:r>
    </w:p>
    <w:p w:rsidR="00620A5E" w:rsidRPr="00620A5E" w:rsidRDefault="00620A5E" w:rsidP="00620A5E">
      <w:pPr>
        <w:spacing w:before="100" w:beforeAutospacing="1"/>
        <w:rPr>
          <w:rFonts w:eastAsia="Times New Roman"/>
        </w:rPr>
      </w:pPr>
      <w:r w:rsidRPr="00620A5E">
        <w:rPr>
          <w:rFonts w:eastAsia="Times New Roman"/>
          <w:color w:val="1F3864"/>
        </w:rPr>
        <w:t> </w:t>
      </w:r>
    </w:p>
    <w:p w:rsidR="00620A5E" w:rsidRPr="00620A5E" w:rsidRDefault="00620A5E" w:rsidP="00620A5E">
      <w:pPr>
        <w:spacing w:before="100" w:beforeAutospacing="1"/>
        <w:rPr>
          <w:rFonts w:eastAsia="Times New Roman"/>
        </w:rPr>
      </w:pPr>
      <w:r w:rsidRPr="00620A5E">
        <w:rPr>
          <w:rFonts w:eastAsia="Times New Roman"/>
          <w:color w:val="1F3864"/>
        </w:rPr>
        <w:t>***************************</w:t>
      </w:r>
    </w:p>
    <w:p w:rsidR="00620A5E" w:rsidRPr="00620A5E" w:rsidRDefault="00620A5E" w:rsidP="00620A5E">
      <w:pPr>
        <w:spacing w:before="100" w:beforeAutospacing="1"/>
        <w:rPr>
          <w:rFonts w:eastAsia="Times New Roman"/>
        </w:rPr>
      </w:pPr>
      <w:r w:rsidRPr="00620A5E">
        <w:rPr>
          <w:rFonts w:eastAsia="Times New Roman"/>
          <w:color w:val="1F3864"/>
        </w:rPr>
        <w:t>Vũ Thị Nha</w:t>
      </w:r>
    </w:p>
    <w:p w:rsidR="00620A5E" w:rsidRPr="00620A5E" w:rsidRDefault="00620A5E" w:rsidP="00620A5E">
      <w:pPr>
        <w:spacing w:before="100" w:beforeAutospacing="1"/>
        <w:rPr>
          <w:rFonts w:eastAsia="Times New Roman"/>
        </w:rPr>
      </w:pPr>
      <w:r w:rsidRPr="00620A5E">
        <w:rPr>
          <w:rFonts w:eastAsia="Times New Roman"/>
          <w:color w:val="1F3864"/>
        </w:rPr>
        <w:t>Librarian</w:t>
      </w:r>
    </w:p>
    <w:p w:rsidR="00620A5E" w:rsidRPr="00620A5E" w:rsidRDefault="00620A5E" w:rsidP="00620A5E">
      <w:pPr>
        <w:spacing w:before="100" w:beforeAutospacing="1"/>
        <w:rPr>
          <w:rFonts w:eastAsia="Times New Roman"/>
        </w:rPr>
      </w:pPr>
      <w:r w:rsidRPr="00620A5E">
        <w:rPr>
          <w:rFonts w:eastAsia="Times New Roman"/>
          <w:color w:val="1F3864"/>
        </w:rPr>
        <w:t>World Bank Group</w:t>
      </w:r>
    </w:p>
    <w:p w:rsidR="00620A5E" w:rsidRPr="00620A5E" w:rsidRDefault="00620A5E" w:rsidP="00620A5E">
      <w:pPr>
        <w:spacing w:before="100" w:beforeAutospacing="1"/>
        <w:rPr>
          <w:rFonts w:eastAsia="Times New Roman"/>
        </w:rPr>
      </w:pPr>
      <w:r w:rsidRPr="00620A5E">
        <w:rPr>
          <w:rFonts w:eastAsia="Times New Roman"/>
          <w:color w:val="1F3864"/>
        </w:rPr>
        <w:t>63 Ly Thai To, Hanoi, Vietnam</w:t>
      </w:r>
    </w:p>
    <w:p w:rsidR="00620A5E" w:rsidRPr="00620A5E" w:rsidRDefault="00620A5E" w:rsidP="00620A5E">
      <w:pPr>
        <w:spacing w:before="100" w:beforeAutospacing="1"/>
        <w:rPr>
          <w:rFonts w:eastAsia="Times New Roman"/>
        </w:rPr>
      </w:pPr>
      <w:r w:rsidRPr="00620A5E">
        <w:rPr>
          <w:rFonts w:eastAsia="Times New Roman"/>
          <w:color w:val="1F3864"/>
        </w:rPr>
        <w:t>Tel.: +84-4-3934 6845</w:t>
      </w:r>
    </w:p>
    <w:p w:rsidR="00620A5E" w:rsidRPr="00620A5E" w:rsidRDefault="00620A5E" w:rsidP="00620A5E">
      <w:pPr>
        <w:spacing w:before="100" w:beforeAutospacing="1"/>
        <w:rPr>
          <w:rFonts w:eastAsia="Times New Roman"/>
        </w:rPr>
      </w:pPr>
      <w:r w:rsidRPr="00620A5E">
        <w:rPr>
          <w:rFonts w:eastAsia="Times New Roman"/>
          <w:color w:val="1F3864"/>
        </w:rPr>
        <w:t xml:space="preserve">Email: </w:t>
      </w:r>
      <w:hyperlink r:id="rId63" w:tgtFrame="_blank" w:history="1">
        <w:r w:rsidRPr="00620A5E">
          <w:rPr>
            <w:rFonts w:eastAsia="Times New Roman"/>
            <w:color w:val="1F3864"/>
            <w:u w:val="single"/>
          </w:rPr>
          <w:t>nvu2@worldbankgroup.org</w:t>
        </w:r>
      </w:hyperlink>
    </w:p>
    <w:p w:rsidR="00620A5E" w:rsidRPr="00620A5E" w:rsidRDefault="00620A5E" w:rsidP="00620A5E">
      <w:pPr>
        <w:spacing w:before="100" w:beforeAutospacing="1"/>
        <w:rPr>
          <w:rFonts w:eastAsia="Times New Roman"/>
        </w:rPr>
      </w:pPr>
      <w:r w:rsidRPr="00620A5E">
        <w:rPr>
          <w:rFonts w:eastAsia="Times New Roman"/>
          <w:color w:val="1F3864"/>
        </w:rPr>
        <w:t xml:space="preserve">World Bank Vietnam web site </w:t>
      </w:r>
      <w:hyperlink r:id="rId64" w:tgtFrame="_blank" w:history="1">
        <w:r w:rsidRPr="00620A5E">
          <w:rPr>
            <w:rFonts w:eastAsia="Times New Roman"/>
            <w:color w:val="1F3864"/>
            <w:u w:val="single"/>
          </w:rPr>
          <w:t>http://www.worldbank.org.vn</w:t>
        </w:r>
      </w:hyperlink>
    </w:p>
    <w:p w:rsidR="00620A5E" w:rsidRPr="00620A5E" w:rsidRDefault="00620A5E" w:rsidP="00620A5E">
      <w:pPr>
        <w:spacing w:before="100" w:beforeAutospacing="1"/>
        <w:rPr>
          <w:rFonts w:eastAsia="Times New Roman"/>
        </w:rPr>
      </w:pPr>
      <w:r w:rsidRPr="00620A5E">
        <w:rPr>
          <w:rFonts w:eastAsia="Times New Roman"/>
          <w:color w:val="1F3864"/>
        </w:rPr>
        <w:t xml:space="preserve">WB’s free documents and reports </w:t>
      </w:r>
      <w:hyperlink r:id="rId65" w:tgtFrame="_blank" w:history="1">
        <w:r w:rsidRPr="00620A5E">
          <w:rPr>
            <w:rFonts w:eastAsia="Times New Roman"/>
            <w:color w:val="1F3864"/>
            <w:u w:val="single"/>
          </w:rPr>
          <w:t>http://www.worldbank.org/documents</w:t>
        </w:r>
      </w:hyperlink>
      <w:r w:rsidRPr="00620A5E">
        <w:rPr>
          <w:rFonts w:eastAsia="Times New Roman"/>
          <w:color w:val="1F3864"/>
        </w:rPr>
        <w:t xml:space="preserve"> </w:t>
      </w:r>
    </w:p>
    <w:p w:rsidR="00620A5E" w:rsidRPr="00620A5E" w:rsidRDefault="00620A5E" w:rsidP="00620A5E">
      <w:pPr>
        <w:spacing w:before="100" w:beforeAutospacing="1"/>
        <w:rPr>
          <w:rFonts w:eastAsia="Times New Roman"/>
        </w:rPr>
      </w:pPr>
      <w:r w:rsidRPr="00620A5E">
        <w:rPr>
          <w:rFonts w:eastAsia="Times New Roman"/>
          <w:color w:val="1F3864"/>
        </w:rPr>
        <w:t xml:space="preserve">WB’s free publications &amp; research </w:t>
      </w:r>
      <w:hyperlink r:id="rId66" w:tgtFrame="_blank" w:history="1">
        <w:r w:rsidRPr="00620A5E">
          <w:rPr>
            <w:rFonts w:eastAsia="Times New Roman"/>
            <w:color w:val="1F3864"/>
            <w:u w:val="single"/>
          </w:rPr>
          <w:t>http://openknowledge.worldbank.org</w:t>
        </w:r>
      </w:hyperlink>
    </w:p>
    <w:p w:rsidR="00620A5E" w:rsidRPr="00620A5E" w:rsidRDefault="00620A5E" w:rsidP="00620A5E">
      <w:pPr>
        <w:spacing w:before="100" w:beforeAutospacing="1"/>
        <w:rPr>
          <w:rFonts w:eastAsia="Times New Roman"/>
        </w:rPr>
      </w:pPr>
      <w:r w:rsidRPr="00620A5E">
        <w:rPr>
          <w:rFonts w:eastAsia="Times New Roman"/>
          <w:color w:val="1F3864"/>
        </w:rPr>
        <w:t xml:space="preserve">WB’s free data &amp; statistics </w:t>
      </w:r>
      <w:hyperlink r:id="rId67" w:tgtFrame="_blank" w:history="1">
        <w:r w:rsidRPr="00620A5E">
          <w:rPr>
            <w:rFonts w:eastAsia="Times New Roman"/>
            <w:color w:val="1F3864"/>
            <w:u w:val="single"/>
          </w:rPr>
          <w:t>http://data.worldbank.org</w:t>
        </w:r>
      </w:hyperlink>
    </w:p>
    <w:p w:rsidR="00973BCC" w:rsidRDefault="00973BCC"/>
    <w:sectPr w:rsidR="00973B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21F2C"/>
    <w:multiLevelType w:val="multilevel"/>
    <w:tmpl w:val="3A16C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126D7D"/>
    <w:multiLevelType w:val="multilevel"/>
    <w:tmpl w:val="541E6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9ED60EE"/>
    <w:multiLevelType w:val="multilevel"/>
    <w:tmpl w:val="C93A5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3926147"/>
    <w:multiLevelType w:val="multilevel"/>
    <w:tmpl w:val="7E62D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652437E"/>
    <w:multiLevelType w:val="multilevel"/>
    <w:tmpl w:val="D97AC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22474D5"/>
    <w:multiLevelType w:val="multilevel"/>
    <w:tmpl w:val="D7F2F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36B6D25"/>
    <w:multiLevelType w:val="multilevel"/>
    <w:tmpl w:val="00B2E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94A3BE1"/>
    <w:multiLevelType w:val="multilevel"/>
    <w:tmpl w:val="A8126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C2B1F0C"/>
    <w:multiLevelType w:val="multilevel"/>
    <w:tmpl w:val="896C9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E505136"/>
    <w:multiLevelType w:val="multilevel"/>
    <w:tmpl w:val="8B608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1A87DF0"/>
    <w:multiLevelType w:val="multilevel"/>
    <w:tmpl w:val="4F807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2353C27"/>
    <w:multiLevelType w:val="multilevel"/>
    <w:tmpl w:val="A3021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8FF0E21"/>
    <w:multiLevelType w:val="multilevel"/>
    <w:tmpl w:val="643CA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6"/>
  </w:num>
  <w:num w:numId="4">
    <w:abstractNumId w:val="5"/>
  </w:num>
  <w:num w:numId="5">
    <w:abstractNumId w:val="7"/>
  </w:num>
  <w:num w:numId="6">
    <w:abstractNumId w:val="2"/>
  </w:num>
  <w:num w:numId="7">
    <w:abstractNumId w:val="9"/>
  </w:num>
  <w:num w:numId="8">
    <w:abstractNumId w:val="11"/>
  </w:num>
  <w:num w:numId="9">
    <w:abstractNumId w:val="12"/>
  </w:num>
  <w:num w:numId="10">
    <w:abstractNumId w:val="10"/>
  </w:num>
  <w:num w:numId="11">
    <w:abstractNumId w:val="3"/>
  </w:num>
  <w:num w:numId="12">
    <w:abstractNumId w:val="1"/>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0A5E"/>
    <w:rsid w:val="00001516"/>
    <w:rsid w:val="00003D49"/>
    <w:rsid w:val="00007C31"/>
    <w:rsid w:val="00013775"/>
    <w:rsid w:val="00016FEB"/>
    <w:rsid w:val="00024C7C"/>
    <w:rsid w:val="000253B9"/>
    <w:rsid w:val="000258D1"/>
    <w:rsid w:val="000261E3"/>
    <w:rsid w:val="000304B8"/>
    <w:rsid w:val="00031B8B"/>
    <w:rsid w:val="00032A19"/>
    <w:rsid w:val="00032CDD"/>
    <w:rsid w:val="00032DB4"/>
    <w:rsid w:val="00033324"/>
    <w:rsid w:val="0003333C"/>
    <w:rsid w:val="00033364"/>
    <w:rsid w:val="00034AF1"/>
    <w:rsid w:val="00042835"/>
    <w:rsid w:val="00043EB5"/>
    <w:rsid w:val="000447B2"/>
    <w:rsid w:val="00044C65"/>
    <w:rsid w:val="00053183"/>
    <w:rsid w:val="00053ECB"/>
    <w:rsid w:val="00055620"/>
    <w:rsid w:val="0005615F"/>
    <w:rsid w:val="0006254A"/>
    <w:rsid w:val="00065EE4"/>
    <w:rsid w:val="0006668C"/>
    <w:rsid w:val="00066AED"/>
    <w:rsid w:val="00071FF1"/>
    <w:rsid w:val="00072129"/>
    <w:rsid w:val="00072A62"/>
    <w:rsid w:val="00073B5F"/>
    <w:rsid w:val="00073FA3"/>
    <w:rsid w:val="00077788"/>
    <w:rsid w:val="00077BF5"/>
    <w:rsid w:val="000815EE"/>
    <w:rsid w:val="0008187C"/>
    <w:rsid w:val="00081A70"/>
    <w:rsid w:val="00082F2A"/>
    <w:rsid w:val="000872FB"/>
    <w:rsid w:val="0009036B"/>
    <w:rsid w:val="00091F75"/>
    <w:rsid w:val="000922C7"/>
    <w:rsid w:val="000924D4"/>
    <w:rsid w:val="0009282B"/>
    <w:rsid w:val="00092E40"/>
    <w:rsid w:val="000956D6"/>
    <w:rsid w:val="000A15EF"/>
    <w:rsid w:val="000A1A77"/>
    <w:rsid w:val="000A1B65"/>
    <w:rsid w:val="000A2D09"/>
    <w:rsid w:val="000A3FA4"/>
    <w:rsid w:val="000A4678"/>
    <w:rsid w:val="000A5A3E"/>
    <w:rsid w:val="000A7125"/>
    <w:rsid w:val="000B2675"/>
    <w:rsid w:val="000B334A"/>
    <w:rsid w:val="000B42D5"/>
    <w:rsid w:val="000B6674"/>
    <w:rsid w:val="000B6A57"/>
    <w:rsid w:val="000B7AF9"/>
    <w:rsid w:val="000C05EF"/>
    <w:rsid w:val="000C0886"/>
    <w:rsid w:val="000C117D"/>
    <w:rsid w:val="000C6E84"/>
    <w:rsid w:val="000C7BFD"/>
    <w:rsid w:val="000C7FD6"/>
    <w:rsid w:val="000C7FE1"/>
    <w:rsid w:val="000D0D18"/>
    <w:rsid w:val="000D7099"/>
    <w:rsid w:val="000D7230"/>
    <w:rsid w:val="000E1ECB"/>
    <w:rsid w:val="000E39B7"/>
    <w:rsid w:val="000E3B0D"/>
    <w:rsid w:val="000E3C23"/>
    <w:rsid w:val="000E5667"/>
    <w:rsid w:val="000E7A3E"/>
    <w:rsid w:val="000F1FBE"/>
    <w:rsid w:val="000F27E0"/>
    <w:rsid w:val="000F2C5B"/>
    <w:rsid w:val="000F2E98"/>
    <w:rsid w:val="000F3EEF"/>
    <w:rsid w:val="000F5592"/>
    <w:rsid w:val="00103120"/>
    <w:rsid w:val="00105731"/>
    <w:rsid w:val="00105D02"/>
    <w:rsid w:val="00111019"/>
    <w:rsid w:val="0011517C"/>
    <w:rsid w:val="001165ED"/>
    <w:rsid w:val="00116619"/>
    <w:rsid w:val="001228A8"/>
    <w:rsid w:val="00124FC7"/>
    <w:rsid w:val="00130C6B"/>
    <w:rsid w:val="001351DE"/>
    <w:rsid w:val="0013553C"/>
    <w:rsid w:val="00136AD7"/>
    <w:rsid w:val="00142B4D"/>
    <w:rsid w:val="00142FB6"/>
    <w:rsid w:val="001433F6"/>
    <w:rsid w:val="001459AA"/>
    <w:rsid w:val="00145B2E"/>
    <w:rsid w:val="00157886"/>
    <w:rsid w:val="00160EA0"/>
    <w:rsid w:val="0016220F"/>
    <w:rsid w:val="00162BE3"/>
    <w:rsid w:val="00163E5C"/>
    <w:rsid w:val="00164C47"/>
    <w:rsid w:val="00164DDA"/>
    <w:rsid w:val="001663A0"/>
    <w:rsid w:val="00166B27"/>
    <w:rsid w:val="00167849"/>
    <w:rsid w:val="00167C7E"/>
    <w:rsid w:val="00167F46"/>
    <w:rsid w:val="00172B0C"/>
    <w:rsid w:val="001737CD"/>
    <w:rsid w:val="00173B62"/>
    <w:rsid w:val="001802AC"/>
    <w:rsid w:val="00180BA9"/>
    <w:rsid w:val="00191DFF"/>
    <w:rsid w:val="00192ACB"/>
    <w:rsid w:val="00193EE2"/>
    <w:rsid w:val="00195B61"/>
    <w:rsid w:val="00197EBE"/>
    <w:rsid w:val="001A0503"/>
    <w:rsid w:val="001A06F1"/>
    <w:rsid w:val="001A1465"/>
    <w:rsid w:val="001A6E66"/>
    <w:rsid w:val="001B2AAB"/>
    <w:rsid w:val="001B2CFA"/>
    <w:rsid w:val="001B3334"/>
    <w:rsid w:val="001B42BF"/>
    <w:rsid w:val="001C0D74"/>
    <w:rsid w:val="001C36EB"/>
    <w:rsid w:val="001C3C26"/>
    <w:rsid w:val="001C677E"/>
    <w:rsid w:val="001D0288"/>
    <w:rsid w:val="001D1891"/>
    <w:rsid w:val="001D2923"/>
    <w:rsid w:val="001D35D0"/>
    <w:rsid w:val="001D4489"/>
    <w:rsid w:val="001D465B"/>
    <w:rsid w:val="001D7920"/>
    <w:rsid w:val="001E4A49"/>
    <w:rsid w:val="001E61B6"/>
    <w:rsid w:val="001E6D1D"/>
    <w:rsid w:val="001F1E9A"/>
    <w:rsid w:val="001F29FC"/>
    <w:rsid w:val="001F2B7E"/>
    <w:rsid w:val="001F3081"/>
    <w:rsid w:val="001F6310"/>
    <w:rsid w:val="00200710"/>
    <w:rsid w:val="00200B99"/>
    <w:rsid w:val="00201399"/>
    <w:rsid w:val="0020206C"/>
    <w:rsid w:val="00202185"/>
    <w:rsid w:val="00207B10"/>
    <w:rsid w:val="00213004"/>
    <w:rsid w:val="00217E1C"/>
    <w:rsid w:val="00220830"/>
    <w:rsid w:val="002212AA"/>
    <w:rsid w:val="00221C8D"/>
    <w:rsid w:val="00224474"/>
    <w:rsid w:val="00230F38"/>
    <w:rsid w:val="00232783"/>
    <w:rsid w:val="00237126"/>
    <w:rsid w:val="00240531"/>
    <w:rsid w:val="00245CCF"/>
    <w:rsid w:val="00247C58"/>
    <w:rsid w:val="00247FC1"/>
    <w:rsid w:val="002510C0"/>
    <w:rsid w:val="00254887"/>
    <w:rsid w:val="00254C55"/>
    <w:rsid w:val="00254DC0"/>
    <w:rsid w:val="00261EB0"/>
    <w:rsid w:val="002636FC"/>
    <w:rsid w:val="00270C4E"/>
    <w:rsid w:val="00272C19"/>
    <w:rsid w:val="002738AA"/>
    <w:rsid w:val="00274441"/>
    <w:rsid w:val="00275D3A"/>
    <w:rsid w:val="00281C27"/>
    <w:rsid w:val="00282220"/>
    <w:rsid w:val="00283420"/>
    <w:rsid w:val="00283D72"/>
    <w:rsid w:val="002842D5"/>
    <w:rsid w:val="0029500F"/>
    <w:rsid w:val="002950DC"/>
    <w:rsid w:val="0029611D"/>
    <w:rsid w:val="00296733"/>
    <w:rsid w:val="00296DB3"/>
    <w:rsid w:val="00297330"/>
    <w:rsid w:val="002A1A36"/>
    <w:rsid w:val="002A3F47"/>
    <w:rsid w:val="002A4770"/>
    <w:rsid w:val="002A5800"/>
    <w:rsid w:val="002B18D5"/>
    <w:rsid w:val="002B1A9A"/>
    <w:rsid w:val="002B221A"/>
    <w:rsid w:val="002B3737"/>
    <w:rsid w:val="002C02B0"/>
    <w:rsid w:val="002C0D45"/>
    <w:rsid w:val="002C2872"/>
    <w:rsid w:val="002C2A9D"/>
    <w:rsid w:val="002C494F"/>
    <w:rsid w:val="002C5637"/>
    <w:rsid w:val="002C67E1"/>
    <w:rsid w:val="002C6C5D"/>
    <w:rsid w:val="002D007A"/>
    <w:rsid w:val="002D1B2A"/>
    <w:rsid w:val="002D1BE8"/>
    <w:rsid w:val="002D7875"/>
    <w:rsid w:val="002D7933"/>
    <w:rsid w:val="002E2751"/>
    <w:rsid w:val="002E3AC7"/>
    <w:rsid w:val="002E3E66"/>
    <w:rsid w:val="002E7966"/>
    <w:rsid w:val="002E7C89"/>
    <w:rsid w:val="002F08B5"/>
    <w:rsid w:val="002F0B46"/>
    <w:rsid w:val="002F1986"/>
    <w:rsid w:val="002F43BA"/>
    <w:rsid w:val="002F50B9"/>
    <w:rsid w:val="002F6623"/>
    <w:rsid w:val="003001B8"/>
    <w:rsid w:val="003024CA"/>
    <w:rsid w:val="00302F43"/>
    <w:rsid w:val="00304D86"/>
    <w:rsid w:val="00305C90"/>
    <w:rsid w:val="00307A68"/>
    <w:rsid w:val="00307C7F"/>
    <w:rsid w:val="00307D47"/>
    <w:rsid w:val="00313996"/>
    <w:rsid w:val="0031565E"/>
    <w:rsid w:val="00322BD5"/>
    <w:rsid w:val="003249A7"/>
    <w:rsid w:val="00325267"/>
    <w:rsid w:val="0033102C"/>
    <w:rsid w:val="00333987"/>
    <w:rsid w:val="003356D3"/>
    <w:rsid w:val="00336B18"/>
    <w:rsid w:val="00336F04"/>
    <w:rsid w:val="00337F0E"/>
    <w:rsid w:val="003403EC"/>
    <w:rsid w:val="0034341E"/>
    <w:rsid w:val="003439AB"/>
    <w:rsid w:val="003507F0"/>
    <w:rsid w:val="003553CE"/>
    <w:rsid w:val="003558D5"/>
    <w:rsid w:val="00362818"/>
    <w:rsid w:val="00362C04"/>
    <w:rsid w:val="00365AF4"/>
    <w:rsid w:val="00366F36"/>
    <w:rsid w:val="00367AF3"/>
    <w:rsid w:val="003703A6"/>
    <w:rsid w:val="00370E52"/>
    <w:rsid w:val="003739F0"/>
    <w:rsid w:val="00374957"/>
    <w:rsid w:val="003749A7"/>
    <w:rsid w:val="00374CD0"/>
    <w:rsid w:val="00383067"/>
    <w:rsid w:val="0038534A"/>
    <w:rsid w:val="003875CE"/>
    <w:rsid w:val="00387843"/>
    <w:rsid w:val="00387FC2"/>
    <w:rsid w:val="0039211B"/>
    <w:rsid w:val="00392BEB"/>
    <w:rsid w:val="00393579"/>
    <w:rsid w:val="003947FD"/>
    <w:rsid w:val="003A0EA9"/>
    <w:rsid w:val="003A35EC"/>
    <w:rsid w:val="003A5133"/>
    <w:rsid w:val="003A5B01"/>
    <w:rsid w:val="003A6380"/>
    <w:rsid w:val="003B68E0"/>
    <w:rsid w:val="003B7310"/>
    <w:rsid w:val="003C7AB8"/>
    <w:rsid w:val="003D1058"/>
    <w:rsid w:val="003D3F36"/>
    <w:rsid w:val="003D4FCB"/>
    <w:rsid w:val="003D5F3F"/>
    <w:rsid w:val="003E28A1"/>
    <w:rsid w:val="003E2CEC"/>
    <w:rsid w:val="003E33FB"/>
    <w:rsid w:val="003F0F7C"/>
    <w:rsid w:val="003F18C7"/>
    <w:rsid w:val="003F46F6"/>
    <w:rsid w:val="003F4BC6"/>
    <w:rsid w:val="003F64D7"/>
    <w:rsid w:val="003F728D"/>
    <w:rsid w:val="003F7D83"/>
    <w:rsid w:val="00401627"/>
    <w:rsid w:val="004048ED"/>
    <w:rsid w:val="004059CB"/>
    <w:rsid w:val="00405CC0"/>
    <w:rsid w:val="004134DD"/>
    <w:rsid w:val="0041396D"/>
    <w:rsid w:val="00413BE9"/>
    <w:rsid w:val="00414997"/>
    <w:rsid w:val="0041513B"/>
    <w:rsid w:val="004178A2"/>
    <w:rsid w:val="00417B62"/>
    <w:rsid w:val="00420398"/>
    <w:rsid w:val="00422F43"/>
    <w:rsid w:val="00423595"/>
    <w:rsid w:val="00423746"/>
    <w:rsid w:val="0043159C"/>
    <w:rsid w:val="00432CC5"/>
    <w:rsid w:val="00434B1C"/>
    <w:rsid w:val="00435B45"/>
    <w:rsid w:val="0043759A"/>
    <w:rsid w:val="00437CE0"/>
    <w:rsid w:val="0044034C"/>
    <w:rsid w:val="00440B93"/>
    <w:rsid w:val="00441732"/>
    <w:rsid w:val="004427DB"/>
    <w:rsid w:val="004428BA"/>
    <w:rsid w:val="00442B74"/>
    <w:rsid w:val="00444A55"/>
    <w:rsid w:val="00444BD7"/>
    <w:rsid w:val="00445E56"/>
    <w:rsid w:val="00446524"/>
    <w:rsid w:val="00446ECD"/>
    <w:rsid w:val="004543AD"/>
    <w:rsid w:val="004544B7"/>
    <w:rsid w:val="00457FA0"/>
    <w:rsid w:val="00461B68"/>
    <w:rsid w:val="00461CB1"/>
    <w:rsid w:val="004627C6"/>
    <w:rsid w:val="004633A4"/>
    <w:rsid w:val="00464DEC"/>
    <w:rsid w:val="00466266"/>
    <w:rsid w:val="0047092D"/>
    <w:rsid w:val="00471031"/>
    <w:rsid w:val="00474490"/>
    <w:rsid w:val="00474512"/>
    <w:rsid w:val="0047521F"/>
    <w:rsid w:val="004758AC"/>
    <w:rsid w:val="00475FEA"/>
    <w:rsid w:val="004760B3"/>
    <w:rsid w:val="004810BA"/>
    <w:rsid w:val="004829F5"/>
    <w:rsid w:val="00482D26"/>
    <w:rsid w:val="004847F3"/>
    <w:rsid w:val="00485136"/>
    <w:rsid w:val="004922D4"/>
    <w:rsid w:val="0049236C"/>
    <w:rsid w:val="00493E44"/>
    <w:rsid w:val="00497A2F"/>
    <w:rsid w:val="004A0CFE"/>
    <w:rsid w:val="004A1049"/>
    <w:rsid w:val="004A52A7"/>
    <w:rsid w:val="004A5747"/>
    <w:rsid w:val="004A79BA"/>
    <w:rsid w:val="004B7D12"/>
    <w:rsid w:val="004C0941"/>
    <w:rsid w:val="004C2F71"/>
    <w:rsid w:val="004D0DA8"/>
    <w:rsid w:val="004D33CB"/>
    <w:rsid w:val="004D3EC8"/>
    <w:rsid w:val="004D4020"/>
    <w:rsid w:val="004D50D6"/>
    <w:rsid w:val="004D5D37"/>
    <w:rsid w:val="004D6030"/>
    <w:rsid w:val="004D6DC8"/>
    <w:rsid w:val="004E0289"/>
    <w:rsid w:val="004E05B1"/>
    <w:rsid w:val="004E09D1"/>
    <w:rsid w:val="004E1480"/>
    <w:rsid w:val="004E3C4F"/>
    <w:rsid w:val="004E3F4B"/>
    <w:rsid w:val="004E40D3"/>
    <w:rsid w:val="004F17D6"/>
    <w:rsid w:val="004F2051"/>
    <w:rsid w:val="004F377D"/>
    <w:rsid w:val="004F37FC"/>
    <w:rsid w:val="004F56B7"/>
    <w:rsid w:val="004F5AA5"/>
    <w:rsid w:val="004F63FA"/>
    <w:rsid w:val="004F78B4"/>
    <w:rsid w:val="00500F06"/>
    <w:rsid w:val="005022FC"/>
    <w:rsid w:val="00502FA6"/>
    <w:rsid w:val="00503C5B"/>
    <w:rsid w:val="00504BBD"/>
    <w:rsid w:val="00506C79"/>
    <w:rsid w:val="00507959"/>
    <w:rsid w:val="0051001A"/>
    <w:rsid w:val="005131B1"/>
    <w:rsid w:val="005132AF"/>
    <w:rsid w:val="00513DEA"/>
    <w:rsid w:val="00523050"/>
    <w:rsid w:val="00523B20"/>
    <w:rsid w:val="00527E0D"/>
    <w:rsid w:val="00532E58"/>
    <w:rsid w:val="00533587"/>
    <w:rsid w:val="0053396A"/>
    <w:rsid w:val="00533BCC"/>
    <w:rsid w:val="005361EA"/>
    <w:rsid w:val="00541E10"/>
    <w:rsid w:val="005451DB"/>
    <w:rsid w:val="005463D5"/>
    <w:rsid w:val="00547DB8"/>
    <w:rsid w:val="0055031D"/>
    <w:rsid w:val="00554F9B"/>
    <w:rsid w:val="00556090"/>
    <w:rsid w:val="00562056"/>
    <w:rsid w:val="00562A94"/>
    <w:rsid w:val="00563378"/>
    <w:rsid w:val="00563A29"/>
    <w:rsid w:val="0056472E"/>
    <w:rsid w:val="00566DBB"/>
    <w:rsid w:val="005706C7"/>
    <w:rsid w:val="0057102A"/>
    <w:rsid w:val="0057113E"/>
    <w:rsid w:val="0057493A"/>
    <w:rsid w:val="005773CF"/>
    <w:rsid w:val="00580117"/>
    <w:rsid w:val="0058086C"/>
    <w:rsid w:val="0058233E"/>
    <w:rsid w:val="005824AB"/>
    <w:rsid w:val="005834F2"/>
    <w:rsid w:val="00586D42"/>
    <w:rsid w:val="00587E12"/>
    <w:rsid w:val="00590AB9"/>
    <w:rsid w:val="005910A2"/>
    <w:rsid w:val="00591CCC"/>
    <w:rsid w:val="00591CF2"/>
    <w:rsid w:val="005930F7"/>
    <w:rsid w:val="0059367B"/>
    <w:rsid w:val="00595186"/>
    <w:rsid w:val="00595AC5"/>
    <w:rsid w:val="0059714F"/>
    <w:rsid w:val="00597557"/>
    <w:rsid w:val="005A19C6"/>
    <w:rsid w:val="005A6BE7"/>
    <w:rsid w:val="005B39B4"/>
    <w:rsid w:val="005B4613"/>
    <w:rsid w:val="005B7201"/>
    <w:rsid w:val="005B78F0"/>
    <w:rsid w:val="005B7B75"/>
    <w:rsid w:val="005C53EA"/>
    <w:rsid w:val="005C6E9C"/>
    <w:rsid w:val="005C7702"/>
    <w:rsid w:val="005D0622"/>
    <w:rsid w:val="005D1550"/>
    <w:rsid w:val="005D246F"/>
    <w:rsid w:val="005D24A6"/>
    <w:rsid w:val="005D37BA"/>
    <w:rsid w:val="005D6B9C"/>
    <w:rsid w:val="005D7D1F"/>
    <w:rsid w:val="005E3336"/>
    <w:rsid w:val="005E3D42"/>
    <w:rsid w:val="005E615B"/>
    <w:rsid w:val="005E6C06"/>
    <w:rsid w:val="005E7E00"/>
    <w:rsid w:val="005F03D9"/>
    <w:rsid w:val="005F0BC0"/>
    <w:rsid w:val="005F6159"/>
    <w:rsid w:val="005F6F8A"/>
    <w:rsid w:val="005F7A18"/>
    <w:rsid w:val="00600A0B"/>
    <w:rsid w:val="00604E73"/>
    <w:rsid w:val="00604FE9"/>
    <w:rsid w:val="00606EB1"/>
    <w:rsid w:val="006073DB"/>
    <w:rsid w:val="00612FFC"/>
    <w:rsid w:val="00613E19"/>
    <w:rsid w:val="00615115"/>
    <w:rsid w:val="006158B5"/>
    <w:rsid w:val="00620A5E"/>
    <w:rsid w:val="00620E48"/>
    <w:rsid w:val="0062231B"/>
    <w:rsid w:val="006254CD"/>
    <w:rsid w:val="00625E9A"/>
    <w:rsid w:val="00627538"/>
    <w:rsid w:val="00630105"/>
    <w:rsid w:val="00631F50"/>
    <w:rsid w:val="00641CC6"/>
    <w:rsid w:val="00644C42"/>
    <w:rsid w:val="006479CF"/>
    <w:rsid w:val="006504BA"/>
    <w:rsid w:val="00650835"/>
    <w:rsid w:val="006530E8"/>
    <w:rsid w:val="0065496E"/>
    <w:rsid w:val="00661697"/>
    <w:rsid w:val="00661A48"/>
    <w:rsid w:val="00661B73"/>
    <w:rsid w:val="00662B03"/>
    <w:rsid w:val="00663621"/>
    <w:rsid w:val="00664845"/>
    <w:rsid w:val="0066538F"/>
    <w:rsid w:val="00666E36"/>
    <w:rsid w:val="006674B8"/>
    <w:rsid w:val="006675DE"/>
    <w:rsid w:val="006706E4"/>
    <w:rsid w:val="00670F08"/>
    <w:rsid w:val="006711F9"/>
    <w:rsid w:val="006720D4"/>
    <w:rsid w:val="006731A6"/>
    <w:rsid w:val="00674EBC"/>
    <w:rsid w:val="00677202"/>
    <w:rsid w:val="00677571"/>
    <w:rsid w:val="00682C8A"/>
    <w:rsid w:val="00684776"/>
    <w:rsid w:val="00686FD4"/>
    <w:rsid w:val="00687EDF"/>
    <w:rsid w:val="00690253"/>
    <w:rsid w:val="006905E5"/>
    <w:rsid w:val="0069459E"/>
    <w:rsid w:val="0069534C"/>
    <w:rsid w:val="00695ECD"/>
    <w:rsid w:val="00696B35"/>
    <w:rsid w:val="006A0CA4"/>
    <w:rsid w:val="006A1B96"/>
    <w:rsid w:val="006A2785"/>
    <w:rsid w:val="006A67BC"/>
    <w:rsid w:val="006B026F"/>
    <w:rsid w:val="006B050B"/>
    <w:rsid w:val="006B0A81"/>
    <w:rsid w:val="006B0C04"/>
    <w:rsid w:val="006B0C5E"/>
    <w:rsid w:val="006B112D"/>
    <w:rsid w:val="006B182A"/>
    <w:rsid w:val="006B2B6C"/>
    <w:rsid w:val="006B2C24"/>
    <w:rsid w:val="006B5BCD"/>
    <w:rsid w:val="006B7452"/>
    <w:rsid w:val="006C12FD"/>
    <w:rsid w:val="006C15EE"/>
    <w:rsid w:val="006C1C10"/>
    <w:rsid w:val="006C2F59"/>
    <w:rsid w:val="006C2FCE"/>
    <w:rsid w:val="006C4CF8"/>
    <w:rsid w:val="006C5D4D"/>
    <w:rsid w:val="006D3157"/>
    <w:rsid w:val="006D51B6"/>
    <w:rsid w:val="006D5B75"/>
    <w:rsid w:val="006D60D5"/>
    <w:rsid w:val="006D68FC"/>
    <w:rsid w:val="006D705A"/>
    <w:rsid w:val="006D7D7D"/>
    <w:rsid w:val="006D7DB6"/>
    <w:rsid w:val="006E0480"/>
    <w:rsid w:val="006E1997"/>
    <w:rsid w:val="006E1A63"/>
    <w:rsid w:val="006E2FD2"/>
    <w:rsid w:val="006E4479"/>
    <w:rsid w:val="006E6B93"/>
    <w:rsid w:val="006E6C1A"/>
    <w:rsid w:val="006E6F6A"/>
    <w:rsid w:val="006E756F"/>
    <w:rsid w:val="006E75DB"/>
    <w:rsid w:val="006F0611"/>
    <w:rsid w:val="006F3C26"/>
    <w:rsid w:val="006F6301"/>
    <w:rsid w:val="006F6F5A"/>
    <w:rsid w:val="006F78ED"/>
    <w:rsid w:val="006F7DDF"/>
    <w:rsid w:val="00700260"/>
    <w:rsid w:val="007012D2"/>
    <w:rsid w:val="00701A5F"/>
    <w:rsid w:val="007037B4"/>
    <w:rsid w:val="00705EB9"/>
    <w:rsid w:val="00706096"/>
    <w:rsid w:val="0071024A"/>
    <w:rsid w:val="00711FEE"/>
    <w:rsid w:val="007135C7"/>
    <w:rsid w:val="00713AA2"/>
    <w:rsid w:val="00713DED"/>
    <w:rsid w:val="007159A8"/>
    <w:rsid w:val="00722E6A"/>
    <w:rsid w:val="00722FC2"/>
    <w:rsid w:val="00723AE1"/>
    <w:rsid w:val="0072469C"/>
    <w:rsid w:val="00725E98"/>
    <w:rsid w:val="00726864"/>
    <w:rsid w:val="00727216"/>
    <w:rsid w:val="00727799"/>
    <w:rsid w:val="00727F04"/>
    <w:rsid w:val="007301B8"/>
    <w:rsid w:val="00731755"/>
    <w:rsid w:val="00731E20"/>
    <w:rsid w:val="007330C1"/>
    <w:rsid w:val="00735A86"/>
    <w:rsid w:val="00735C7E"/>
    <w:rsid w:val="007365B8"/>
    <w:rsid w:val="00737AC1"/>
    <w:rsid w:val="00740CA0"/>
    <w:rsid w:val="00741215"/>
    <w:rsid w:val="007417C8"/>
    <w:rsid w:val="007429B3"/>
    <w:rsid w:val="00743499"/>
    <w:rsid w:val="007435CF"/>
    <w:rsid w:val="00743739"/>
    <w:rsid w:val="00744EA9"/>
    <w:rsid w:val="00745A88"/>
    <w:rsid w:val="00752E20"/>
    <w:rsid w:val="00755B97"/>
    <w:rsid w:val="00755DCE"/>
    <w:rsid w:val="00760D3A"/>
    <w:rsid w:val="0076102F"/>
    <w:rsid w:val="00761156"/>
    <w:rsid w:val="007619F7"/>
    <w:rsid w:val="00761D1C"/>
    <w:rsid w:val="00762D51"/>
    <w:rsid w:val="00762E97"/>
    <w:rsid w:val="007646EB"/>
    <w:rsid w:val="00772F4F"/>
    <w:rsid w:val="00773E27"/>
    <w:rsid w:val="007748BD"/>
    <w:rsid w:val="0077598B"/>
    <w:rsid w:val="00776154"/>
    <w:rsid w:val="00777137"/>
    <w:rsid w:val="00777D1F"/>
    <w:rsid w:val="007813F1"/>
    <w:rsid w:val="00781C78"/>
    <w:rsid w:val="0078210A"/>
    <w:rsid w:val="007839EC"/>
    <w:rsid w:val="0078401E"/>
    <w:rsid w:val="007867FC"/>
    <w:rsid w:val="00786E2C"/>
    <w:rsid w:val="00791893"/>
    <w:rsid w:val="00791C56"/>
    <w:rsid w:val="00795DF9"/>
    <w:rsid w:val="007A0ADA"/>
    <w:rsid w:val="007A1734"/>
    <w:rsid w:val="007A2A49"/>
    <w:rsid w:val="007A3ADA"/>
    <w:rsid w:val="007A48CE"/>
    <w:rsid w:val="007A78E2"/>
    <w:rsid w:val="007B0588"/>
    <w:rsid w:val="007B16A3"/>
    <w:rsid w:val="007B2A41"/>
    <w:rsid w:val="007B3B36"/>
    <w:rsid w:val="007B5897"/>
    <w:rsid w:val="007C28DB"/>
    <w:rsid w:val="007D0A35"/>
    <w:rsid w:val="007D1BC3"/>
    <w:rsid w:val="007D1C7E"/>
    <w:rsid w:val="007D3125"/>
    <w:rsid w:val="007D474B"/>
    <w:rsid w:val="007D588E"/>
    <w:rsid w:val="007D5DDE"/>
    <w:rsid w:val="007D7C69"/>
    <w:rsid w:val="007E3BA3"/>
    <w:rsid w:val="007F2172"/>
    <w:rsid w:val="007F3A59"/>
    <w:rsid w:val="007F3E1F"/>
    <w:rsid w:val="007F5968"/>
    <w:rsid w:val="007F68A4"/>
    <w:rsid w:val="008001F0"/>
    <w:rsid w:val="008017AF"/>
    <w:rsid w:val="008056D7"/>
    <w:rsid w:val="008072CB"/>
    <w:rsid w:val="008118A8"/>
    <w:rsid w:val="00811E16"/>
    <w:rsid w:val="00814BD1"/>
    <w:rsid w:val="00814D7B"/>
    <w:rsid w:val="00815473"/>
    <w:rsid w:val="00815F82"/>
    <w:rsid w:val="0081779B"/>
    <w:rsid w:val="00817C4C"/>
    <w:rsid w:val="00823825"/>
    <w:rsid w:val="00823956"/>
    <w:rsid w:val="00825B31"/>
    <w:rsid w:val="008273B9"/>
    <w:rsid w:val="00836E19"/>
    <w:rsid w:val="00837381"/>
    <w:rsid w:val="008409C6"/>
    <w:rsid w:val="00843568"/>
    <w:rsid w:val="00846088"/>
    <w:rsid w:val="00846946"/>
    <w:rsid w:val="00846E27"/>
    <w:rsid w:val="00851AE4"/>
    <w:rsid w:val="00853F5F"/>
    <w:rsid w:val="00860F52"/>
    <w:rsid w:val="00864090"/>
    <w:rsid w:val="008645F5"/>
    <w:rsid w:val="008658FD"/>
    <w:rsid w:val="00870215"/>
    <w:rsid w:val="008707F5"/>
    <w:rsid w:val="008743AD"/>
    <w:rsid w:val="008751D9"/>
    <w:rsid w:val="008757ED"/>
    <w:rsid w:val="0088125D"/>
    <w:rsid w:val="00881369"/>
    <w:rsid w:val="0088190A"/>
    <w:rsid w:val="0088292D"/>
    <w:rsid w:val="00883D08"/>
    <w:rsid w:val="008850AD"/>
    <w:rsid w:val="008854F1"/>
    <w:rsid w:val="00886A9C"/>
    <w:rsid w:val="00887B8C"/>
    <w:rsid w:val="008920A6"/>
    <w:rsid w:val="00893095"/>
    <w:rsid w:val="008943DF"/>
    <w:rsid w:val="008948FC"/>
    <w:rsid w:val="00894E79"/>
    <w:rsid w:val="008956DB"/>
    <w:rsid w:val="00896509"/>
    <w:rsid w:val="008A2B74"/>
    <w:rsid w:val="008A2DB3"/>
    <w:rsid w:val="008A3897"/>
    <w:rsid w:val="008A3BCA"/>
    <w:rsid w:val="008A5726"/>
    <w:rsid w:val="008A5EF9"/>
    <w:rsid w:val="008A6043"/>
    <w:rsid w:val="008A6A4C"/>
    <w:rsid w:val="008B05F2"/>
    <w:rsid w:val="008B0C72"/>
    <w:rsid w:val="008B2817"/>
    <w:rsid w:val="008C32EB"/>
    <w:rsid w:val="008D0166"/>
    <w:rsid w:val="008D0910"/>
    <w:rsid w:val="008D1873"/>
    <w:rsid w:val="008D26EF"/>
    <w:rsid w:val="008D2A47"/>
    <w:rsid w:val="008D2C81"/>
    <w:rsid w:val="008D2F25"/>
    <w:rsid w:val="008D32B1"/>
    <w:rsid w:val="008D535A"/>
    <w:rsid w:val="008D63D9"/>
    <w:rsid w:val="008E118C"/>
    <w:rsid w:val="008E1484"/>
    <w:rsid w:val="008E1F1E"/>
    <w:rsid w:val="008E3121"/>
    <w:rsid w:val="008E6D74"/>
    <w:rsid w:val="008F102A"/>
    <w:rsid w:val="008F366D"/>
    <w:rsid w:val="008F4950"/>
    <w:rsid w:val="008F5644"/>
    <w:rsid w:val="008F753E"/>
    <w:rsid w:val="00901B6E"/>
    <w:rsid w:val="0090480C"/>
    <w:rsid w:val="00904869"/>
    <w:rsid w:val="00905F33"/>
    <w:rsid w:val="00906784"/>
    <w:rsid w:val="00906F75"/>
    <w:rsid w:val="009073B4"/>
    <w:rsid w:val="009125FF"/>
    <w:rsid w:val="0091380B"/>
    <w:rsid w:val="00913A5C"/>
    <w:rsid w:val="00914BC5"/>
    <w:rsid w:val="00914D98"/>
    <w:rsid w:val="00914DCE"/>
    <w:rsid w:val="00915CEE"/>
    <w:rsid w:val="00921749"/>
    <w:rsid w:val="009222BA"/>
    <w:rsid w:val="009229C8"/>
    <w:rsid w:val="009243ED"/>
    <w:rsid w:val="009250AE"/>
    <w:rsid w:val="0092548E"/>
    <w:rsid w:val="009271C5"/>
    <w:rsid w:val="0093162D"/>
    <w:rsid w:val="00932C2B"/>
    <w:rsid w:val="0093345A"/>
    <w:rsid w:val="00933C05"/>
    <w:rsid w:val="00934603"/>
    <w:rsid w:val="00934C5F"/>
    <w:rsid w:val="00935CE6"/>
    <w:rsid w:val="009373AE"/>
    <w:rsid w:val="00940193"/>
    <w:rsid w:val="0094498D"/>
    <w:rsid w:val="00947569"/>
    <w:rsid w:val="00951680"/>
    <w:rsid w:val="009518D9"/>
    <w:rsid w:val="00951AF4"/>
    <w:rsid w:val="00953623"/>
    <w:rsid w:val="00953CE5"/>
    <w:rsid w:val="00954A04"/>
    <w:rsid w:val="00964A79"/>
    <w:rsid w:val="00970DE8"/>
    <w:rsid w:val="0097306F"/>
    <w:rsid w:val="00973663"/>
    <w:rsid w:val="00973AA2"/>
    <w:rsid w:val="00973BCC"/>
    <w:rsid w:val="00976944"/>
    <w:rsid w:val="00980D86"/>
    <w:rsid w:val="00984218"/>
    <w:rsid w:val="00984F20"/>
    <w:rsid w:val="0098764B"/>
    <w:rsid w:val="00992D29"/>
    <w:rsid w:val="00993908"/>
    <w:rsid w:val="0099476E"/>
    <w:rsid w:val="00995036"/>
    <w:rsid w:val="00995309"/>
    <w:rsid w:val="009A0391"/>
    <w:rsid w:val="009A13A1"/>
    <w:rsid w:val="009A2063"/>
    <w:rsid w:val="009A24B7"/>
    <w:rsid w:val="009A3951"/>
    <w:rsid w:val="009B0150"/>
    <w:rsid w:val="009B17DB"/>
    <w:rsid w:val="009B3A2D"/>
    <w:rsid w:val="009B3E18"/>
    <w:rsid w:val="009B4D68"/>
    <w:rsid w:val="009D0567"/>
    <w:rsid w:val="009D3ECD"/>
    <w:rsid w:val="009D4516"/>
    <w:rsid w:val="009D5992"/>
    <w:rsid w:val="009D7F29"/>
    <w:rsid w:val="009E000E"/>
    <w:rsid w:val="009E2DCC"/>
    <w:rsid w:val="009E77CB"/>
    <w:rsid w:val="009E7EF0"/>
    <w:rsid w:val="009F22A4"/>
    <w:rsid w:val="009F3419"/>
    <w:rsid w:val="009F35A0"/>
    <w:rsid w:val="009F61DD"/>
    <w:rsid w:val="009F6681"/>
    <w:rsid w:val="00A005F4"/>
    <w:rsid w:val="00A04161"/>
    <w:rsid w:val="00A04DA8"/>
    <w:rsid w:val="00A04F2A"/>
    <w:rsid w:val="00A071EB"/>
    <w:rsid w:val="00A142BF"/>
    <w:rsid w:val="00A15913"/>
    <w:rsid w:val="00A172A3"/>
    <w:rsid w:val="00A200CD"/>
    <w:rsid w:val="00A25B0B"/>
    <w:rsid w:val="00A26607"/>
    <w:rsid w:val="00A2774E"/>
    <w:rsid w:val="00A302A9"/>
    <w:rsid w:val="00A32508"/>
    <w:rsid w:val="00A34ABD"/>
    <w:rsid w:val="00A34CE4"/>
    <w:rsid w:val="00A41AB2"/>
    <w:rsid w:val="00A41B56"/>
    <w:rsid w:val="00A42208"/>
    <w:rsid w:val="00A43032"/>
    <w:rsid w:val="00A4373D"/>
    <w:rsid w:val="00A43FD0"/>
    <w:rsid w:val="00A464BF"/>
    <w:rsid w:val="00A5266D"/>
    <w:rsid w:val="00A56DF7"/>
    <w:rsid w:val="00A63062"/>
    <w:rsid w:val="00A63655"/>
    <w:rsid w:val="00A63C51"/>
    <w:rsid w:val="00A659D8"/>
    <w:rsid w:val="00A708A5"/>
    <w:rsid w:val="00A71AD4"/>
    <w:rsid w:val="00A73BBC"/>
    <w:rsid w:val="00A743CA"/>
    <w:rsid w:val="00A744AA"/>
    <w:rsid w:val="00A74A98"/>
    <w:rsid w:val="00A7771A"/>
    <w:rsid w:val="00A7785E"/>
    <w:rsid w:val="00A77989"/>
    <w:rsid w:val="00A80146"/>
    <w:rsid w:val="00A80A72"/>
    <w:rsid w:val="00A815CE"/>
    <w:rsid w:val="00A8163A"/>
    <w:rsid w:val="00A854C4"/>
    <w:rsid w:val="00A85D44"/>
    <w:rsid w:val="00A85FF6"/>
    <w:rsid w:val="00A866F8"/>
    <w:rsid w:val="00A87F13"/>
    <w:rsid w:val="00A906D1"/>
    <w:rsid w:val="00A93503"/>
    <w:rsid w:val="00A93D5B"/>
    <w:rsid w:val="00A94E8E"/>
    <w:rsid w:val="00A950BF"/>
    <w:rsid w:val="00A95403"/>
    <w:rsid w:val="00A95E65"/>
    <w:rsid w:val="00AA08CA"/>
    <w:rsid w:val="00AA0BBE"/>
    <w:rsid w:val="00AA16CA"/>
    <w:rsid w:val="00AA31B4"/>
    <w:rsid w:val="00AA3684"/>
    <w:rsid w:val="00AA3C8C"/>
    <w:rsid w:val="00AB0621"/>
    <w:rsid w:val="00AB1339"/>
    <w:rsid w:val="00AB18B3"/>
    <w:rsid w:val="00AB3238"/>
    <w:rsid w:val="00AB38B1"/>
    <w:rsid w:val="00AB40F1"/>
    <w:rsid w:val="00AB596E"/>
    <w:rsid w:val="00AC00C9"/>
    <w:rsid w:val="00AC3BF3"/>
    <w:rsid w:val="00AC6D1D"/>
    <w:rsid w:val="00AC7939"/>
    <w:rsid w:val="00AD168F"/>
    <w:rsid w:val="00AD44F6"/>
    <w:rsid w:val="00AE4A63"/>
    <w:rsid w:val="00AE6678"/>
    <w:rsid w:val="00AE7E9F"/>
    <w:rsid w:val="00AF17F7"/>
    <w:rsid w:val="00AF3CBF"/>
    <w:rsid w:val="00AF717B"/>
    <w:rsid w:val="00B0052C"/>
    <w:rsid w:val="00B035C9"/>
    <w:rsid w:val="00B03840"/>
    <w:rsid w:val="00B044A4"/>
    <w:rsid w:val="00B04613"/>
    <w:rsid w:val="00B051D5"/>
    <w:rsid w:val="00B051FE"/>
    <w:rsid w:val="00B05422"/>
    <w:rsid w:val="00B056F1"/>
    <w:rsid w:val="00B108E0"/>
    <w:rsid w:val="00B12476"/>
    <w:rsid w:val="00B20FF9"/>
    <w:rsid w:val="00B2138B"/>
    <w:rsid w:val="00B267E3"/>
    <w:rsid w:val="00B27879"/>
    <w:rsid w:val="00B30747"/>
    <w:rsid w:val="00B33569"/>
    <w:rsid w:val="00B342C2"/>
    <w:rsid w:val="00B35307"/>
    <w:rsid w:val="00B36DCD"/>
    <w:rsid w:val="00B37852"/>
    <w:rsid w:val="00B420A7"/>
    <w:rsid w:val="00B4274D"/>
    <w:rsid w:val="00B42FD9"/>
    <w:rsid w:val="00B437FB"/>
    <w:rsid w:val="00B43FF0"/>
    <w:rsid w:val="00B44C77"/>
    <w:rsid w:val="00B47605"/>
    <w:rsid w:val="00B51503"/>
    <w:rsid w:val="00B51D8D"/>
    <w:rsid w:val="00B53517"/>
    <w:rsid w:val="00B53CB6"/>
    <w:rsid w:val="00B555F7"/>
    <w:rsid w:val="00B558DB"/>
    <w:rsid w:val="00B56668"/>
    <w:rsid w:val="00B56FE7"/>
    <w:rsid w:val="00B573E4"/>
    <w:rsid w:val="00B5795F"/>
    <w:rsid w:val="00B60576"/>
    <w:rsid w:val="00B61443"/>
    <w:rsid w:val="00B64683"/>
    <w:rsid w:val="00B6694C"/>
    <w:rsid w:val="00B66BF4"/>
    <w:rsid w:val="00B676EA"/>
    <w:rsid w:val="00B73357"/>
    <w:rsid w:val="00B73677"/>
    <w:rsid w:val="00B74359"/>
    <w:rsid w:val="00B75D5B"/>
    <w:rsid w:val="00B75EE1"/>
    <w:rsid w:val="00B77F59"/>
    <w:rsid w:val="00B84132"/>
    <w:rsid w:val="00B86213"/>
    <w:rsid w:val="00B8630C"/>
    <w:rsid w:val="00B863CB"/>
    <w:rsid w:val="00B9181A"/>
    <w:rsid w:val="00B92CE5"/>
    <w:rsid w:val="00B959CF"/>
    <w:rsid w:val="00B96883"/>
    <w:rsid w:val="00B96C91"/>
    <w:rsid w:val="00BA306C"/>
    <w:rsid w:val="00BA6726"/>
    <w:rsid w:val="00BA6F63"/>
    <w:rsid w:val="00BA7725"/>
    <w:rsid w:val="00BA7F2F"/>
    <w:rsid w:val="00BB4C74"/>
    <w:rsid w:val="00BB54DC"/>
    <w:rsid w:val="00BB6716"/>
    <w:rsid w:val="00BC0604"/>
    <w:rsid w:val="00BC168F"/>
    <w:rsid w:val="00BC2A79"/>
    <w:rsid w:val="00BC4CCF"/>
    <w:rsid w:val="00BC655F"/>
    <w:rsid w:val="00BD0B59"/>
    <w:rsid w:val="00BD2A99"/>
    <w:rsid w:val="00BD2D04"/>
    <w:rsid w:val="00BD3162"/>
    <w:rsid w:val="00BD39E5"/>
    <w:rsid w:val="00BD3D86"/>
    <w:rsid w:val="00BD3F46"/>
    <w:rsid w:val="00BD7FA7"/>
    <w:rsid w:val="00BE0B0D"/>
    <w:rsid w:val="00BE162F"/>
    <w:rsid w:val="00BE27C1"/>
    <w:rsid w:val="00BE4ED7"/>
    <w:rsid w:val="00BE60B5"/>
    <w:rsid w:val="00BE7ED5"/>
    <w:rsid w:val="00BF1DBF"/>
    <w:rsid w:val="00BF2C1A"/>
    <w:rsid w:val="00BF4D25"/>
    <w:rsid w:val="00BF7385"/>
    <w:rsid w:val="00BF76FE"/>
    <w:rsid w:val="00BF78DC"/>
    <w:rsid w:val="00C00CD9"/>
    <w:rsid w:val="00C03F27"/>
    <w:rsid w:val="00C0413F"/>
    <w:rsid w:val="00C0486F"/>
    <w:rsid w:val="00C0538B"/>
    <w:rsid w:val="00C129FB"/>
    <w:rsid w:val="00C13861"/>
    <w:rsid w:val="00C1410A"/>
    <w:rsid w:val="00C1792C"/>
    <w:rsid w:val="00C20A6B"/>
    <w:rsid w:val="00C25A71"/>
    <w:rsid w:val="00C260C8"/>
    <w:rsid w:val="00C2615E"/>
    <w:rsid w:val="00C26DFD"/>
    <w:rsid w:val="00C26E0D"/>
    <w:rsid w:val="00C35EFA"/>
    <w:rsid w:val="00C374DF"/>
    <w:rsid w:val="00C403EF"/>
    <w:rsid w:val="00C40AD2"/>
    <w:rsid w:val="00C40E2B"/>
    <w:rsid w:val="00C41756"/>
    <w:rsid w:val="00C4417F"/>
    <w:rsid w:val="00C44D28"/>
    <w:rsid w:val="00C44E09"/>
    <w:rsid w:val="00C46AB5"/>
    <w:rsid w:val="00C556AF"/>
    <w:rsid w:val="00C55787"/>
    <w:rsid w:val="00C56181"/>
    <w:rsid w:val="00C6007A"/>
    <w:rsid w:val="00C65FA4"/>
    <w:rsid w:val="00C66B8A"/>
    <w:rsid w:val="00C67C08"/>
    <w:rsid w:val="00C71633"/>
    <w:rsid w:val="00C723FD"/>
    <w:rsid w:val="00C7272F"/>
    <w:rsid w:val="00C72BA1"/>
    <w:rsid w:val="00C74FDD"/>
    <w:rsid w:val="00C83C31"/>
    <w:rsid w:val="00C841D8"/>
    <w:rsid w:val="00C90020"/>
    <w:rsid w:val="00C9180E"/>
    <w:rsid w:val="00C93AFD"/>
    <w:rsid w:val="00C94478"/>
    <w:rsid w:val="00C95C15"/>
    <w:rsid w:val="00C96C8B"/>
    <w:rsid w:val="00CA315D"/>
    <w:rsid w:val="00CA31DE"/>
    <w:rsid w:val="00CA4F70"/>
    <w:rsid w:val="00CA5FC4"/>
    <w:rsid w:val="00CA769A"/>
    <w:rsid w:val="00CB22FB"/>
    <w:rsid w:val="00CB7716"/>
    <w:rsid w:val="00CC11B3"/>
    <w:rsid w:val="00CC1F70"/>
    <w:rsid w:val="00CC27D6"/>
    <w:rsid w:val="00CC2A3C"/>
    <w:rsid w:val="00CC3724"/>
    <w:rsid w:val="00CC3800"/>
    <w:rsid w:val="00CC590E"/>
    <w:rsid w:val="00CC6432"/>
    <w:rsid w:val="00CD09D1"/>
    <w:rsid w:val="00CD0A25"/>
    <w:rsid w:val="00CD23A0"/>
    <w:rsid w:val="00CD2567"/>
    <w:rsid w:val="00CD3A38"/>
    <w:rsid w:val="00CD6874"/>
    <w:rsid w:val="00CE1728"/>
    <w:rsid w:val="00CF0411"/>
    <w:rsid w:val="00CF1312"/>
    <w:rsid w:val="00CF1364"/>
    <w:rsid w:val="00CF2E6C"/>
    <w:rsid w:val="00CF5E87"/>
    <w:rsid w:val="00CF741B"/>
    <w:rsid w:val="00D079FC"/>
    <w:rsid w:val="00D1046D"/>
    <w:rsid w:val="00D166D6"/>
    <w:rsid w:val="00D16C7D"/>
    <w:rsid w:val="00D17787"/>
    <w:rsid w:val="00D2040C"/>
    <w:rsid w:val="00D23489"/>
    <w:rsid w:val="00D23663"/>
    <w:rsid w:val="00D251BE"/>
    <w:rsid w:val="00D25707"/>
    <w:rsid w:val="00D326A3"/>
    <w:rsid w:val="00D36389"/>
    <w:rsid w:val="00D36E40"/>
    <w:rsid w:val="00D37471"/>
    <w:rsid w:val="00D42E55"/>
    <w:rsid w:val="00D43013"/>
    <w:rsid w:val="00D4417C"/>
    <w:rsid w:val="00D454D8"/>
    <w:rsid w:val="00D4799D"/>
    <w:rsid w:val="00D5151A"/>
    <w:rsid w:val="00D51628"/>
    <w:rsid w:val="00D52B42"/>
    <w:rsid w:val="00D53C8D"/>
    <w:rsid w:val="00D540AE"/>
    <w:rsid w:val="00D552DB"/>
    <w:rsid w:val="00D55739"/>
    <w:rsid w:val="00D56092"/>
    <w:rsid w:val="00D57370"/>
    <w:rsid w:val="00D61B5F"/>
    <w:rsid w:val="00D61C13"/>
    <w:rsid w:val="00D61F89"/>
    <w:rsid w:val="00D64826"/>
    <w:rsid w:val="00D67DD5"/>
    <w:rsid w:val="00D71795"/>
    <w:rsid w:val="00D7397C"/>
    <w:rsid w:val="00D74295"/>
    <w:rsid w:val="00D7469E"/>
    <w:rsid w:val="00D746B7"/>
    <w:rsid w:val="00D75030"/>
    <w:rsid w:val="00D76E04"/>
    <w:rsid w:val="00D77424"/>
    <w:rsid w:val="00D776A4"/>
    <w:rsid w:val="00D80E33"/>
    <w:rsid w:val="00D81162"/>
    <w:rsid w:val="00D81996"/>
    <w:rsid w:val="00D81CD9"/>
    <w:rsid w:val="00D81CDC"/>
    <w:rsid w:val="00D8280D"/>
    <w:rsid w:val="00D86E80"/>
    <w:rsid w:val="00D87434"/>
    <w:rsid w:val="00D876AD"/>
    <w:rsid w:val="00D90AD9"/>
    <w:rsid w:val="00D93855"/>
    <w:rsid w:val="00D96E90"/>
    <w:rsid w:val="00DA0CD1"/>
    <w:rsid w:val="00DA0E54"/>
    <w:rsid w:val="00DA0F84"/>
    <w:rsid w:val="00DA1562"/>
    <w:rsid w:val="00DA23BC"/>
    <w:rsid w:val="00DA2613"/>
    <w:rsid w:val="00DA3A67"/>
    <w:rsid w:val="00DA4A2D"/>
    <w:rsid w:val="00DA67DA"/>
    <w:rsid w:val="00DB26A8"/>
    <w:rsid w:val="00DB2CC0"/>
    <w:rsid w:val="00DB3C57"/>
    <w:rsid w:val="00DB41FB"/>
    <w:rsid w:val="00DB4F77"/>
    <w:rsid w:val="00DB78BD"/>
    <w:rsid w:val="00DC0867"/>
    <w:rsid w:val="00DC09F4"/>
    <w:rsid w:val="00DC2632"/>
    <w:rsid w:val="00DC434F"/>
    <w:rsid w:val="00DD30F6"/>
    <w:rsid w:val="00DD45B6"/>
    <w:rsid w:val="00DD683B"/>
    <w:rsid w:val="00DE0FD5"/>
    <w:rsid w:val="00DE1C80"/>
    <w:rsid w:val="00DE3E71"/>
    <w:rsid w:val="00DE5625"/>
    <w:rsid w:val="00DE75B9"/>
    <w:rsid w:val="00DF0123"/>
    <w:rsid w:val="00DF071F"/>
    <w:rsid w:val="00DF1C20"/>
    <w:rsid w:val="00DF5D8D"/>
    <w:rsid w:val="00DF741B"/>
    <w:rsid w:val="00E006A3"/>
    <w:rsid w:val="00E026E4"/>
    <w:rsid w:val="00E054BE"/>
    <w:rsid w:val="00E05BBC"/>
    <w:rsid w:val="00E07277"/>
    <w:rsid w:val="00E1002A"/>
    <w:rsid w:val="00E1007F"/>
    <w:rsid w:val="00E11F98"/>
    <w:rsid w:val="00E205A4"/>
    <w:rsid w:val="00E21ABC"/>
    <w:rsid w:val="00E2295B"/>
    <w:rsid w:val="00E245A7"/>
    <w:rsid w:val="00E2500D"/>
    <w:rsid w:val="00E30519"/>
    <w:rsid w:val="00E30E5B"/>
    <w:rsid w:val="00E329C2"/>
    <w:rsid w:val="00E32D47"/>
    <w:rsid w:val="00E33C51"/>
    <w:rsid w:val="00E35DA1"/>
    <w:rsid w:val="00E415C2"/>
    <w:rsid w:val="00E42AC3"/>
    <w:rsid w:val="00E44140"/>
    <w:rsid w:val="00E45971"/>
    <w:rsid w:val="00E513E9"/>
    <w:rsid w:val="00E5295E"/>
    <w:rsid w:val="00E53074"/>
    <w:rsid w:val="00E5345E"/>
    <w:rsid w:val="00E56A50"/>
    <w:rsid w:val="00E57574"/>
    <w:rsid w:val="00E5767E"/>
    <w:rsid w:val="00E60122"/>
    <w:rsid w:val="00E60B71"/>
    <w:rsid w:val="00E60DCB"/>
    <w:rsid w:val="00E61862"/>
    <w:rsid w:val="00E63976"/>
    <w:rsid w:val="00E649F0"/>
    <w:rsid w:val="00E656D7"/>
    <w:rsid w:val="00E65D9E"/>
    <w:rsid w:val="00E65FE2"/>
    <w:rsid w:val="00E66280"/>
    <w:rsid w:val="00E67E43"/>
    <w:rsid w:val="00E704BB"/>
    <w:rsid w:val="00E709E9"/>
    <w:rsid w:val="00E709EA"/>
    <w:rsid w:val="00E73340"/>
    <w:rsid w:val="00E73CD5"/>
    <w:rsid w:val="00E76AA1"/>
    <w:rsid w:val="00E77128"/>
    <w:rsid w:val="00E80ABE"/>
    <w:rsid w:val="00E82842"/>
    <w:rsid w:val="00E8290F"/>
    <w:rsid w:val="00E8473C"/>
    <w:rsid w:val="00E85512"/>
    <w:rsid w:val="00E90733"/>
    <w:rsid w:val="00E91D4D"/>
    <w:rsid w:val="00E92973"/>
    <w:rsid w:val="00E953B1"/>
    <w:rsid w:val="00E95C61"/>
    <w:rsid w:val="00E97DB2"/>
    <w:rsid w:val="00EA32A1"/>
    <w:rsid w:val="00EA3D31"/>
    <w:rsid w:val="00EA46E5"/>
    <w:rsid w:val="00EA4BE2"/>
    <w:rsid w:val="00EA73BE"/>
    <w:rsid w:val="00EA7BC2"/>
    <w:rsid w:val="00EB3CEC"/>
    <w:rsid w:val="00EB44FF"/>
    <w:rsid w:val="00EB7DF1"/>
    <w:rsid w:val="00EC1783"/>
    <w:rsid w:val="00EC1FA7"/>
    <w:rsid w:val="00EC2AE0"/>
    <w:rsid w:val="00EC6F88"/>
    <w:rsid w:val="00EC746E"/>
    <w:rsid w:val="00EC765E"/>
    <w:rsid w:val="00ED2A19"/>
    <w:rsid w:val="00ED3363"/>
    <w:rsid w:val="00ED7472"/>
    <w:rsid w:val="00EE1CD0"/>
    <w:rsid w:val="00EE2B2E"/>
    <w:rsid w:val="00EE2DAC"/>
    <w:rsid w:val="00EE447D"/>
    <w:rsid w:val="00EE749D"/>
    <w:rsid w:val="00EE7C1B"/>
    <w:rsid w:val="00EF13EF"/>
    <w:rsid w:val="00EF262C"/>
    <w:rsid w:val="00EF2AE9"/>
    <w:rsid w:val="00EF4707"/>
    <w:rsid w:val="00EF4EE6"/>
    <w:rsid w:val="00EF6C8E"/>
    <w:rsid w:val="00F00897"/>
    <w:rsid w:val="00F00BF5"/>
    <w:rsid w:val="00F01B06"/>
    <w:rsid w:val="00F02811"/>
    <w:rsid w:val="00F03976"/>
    <w:rsid w:val="00F03EC8"/>
    <w:rsid w:val="00F069DE"/>
    <w:rsid w:val="00F06A33"/>
    <w:rsid w:val="00F07467"/>
    <w:rsid w:val="00F100A8"/>
    <w:rsid w:val="00F11799"/>
    <w:rsid w:val="00F14CC2"/>
    <w:rsid w:val="00F15D1C"/>
    <w:rsid w:val="00F163EE"/>
    <w:rsid w:val="00F215B0"/>
    <w:rsid w:val="00F22472"/>
    <w:rsid w:val="00F2264F"/>
    <w:rsid w:val="00F23EEA"/>
    <w:rsid w:val="00F247C4"/>
    <w:rsid w:val="00F31B9B"/>
    <w:rsid w:val="00F33CCD"/>
    <w:rsid w:val="00F34804"/>
    <w:rsid w:val="00F34D67"/>
    <w:rsid w:val="00F3528B"/>
    <w:rsid w:val="00F36E17"/>
    <w:rsid w:val="00F37BD1"/>
    <w:rsid w:val="00F41434"/>
    <w:rsid w:val="00F4279F"/>
    <w:rsid w:val="00F42B1F"/>
    <w:rsid w:val="00F44CE0"/>
    <w:rsid w:val="00F50150"/>
    <w:rsid w:val="00F51ED7"/>
    <w:rsid w:val="00F5200B"/>
    <w:rsid w:val="00F54AD9"/>
    <w:rsid w:val="00F56FD4"/>
    <w:rsid w:val="00F60941"/>
    <w:rsid w:val="00F644FC"/>
    <w:rsid w:val="00F657F6"/>
    <w:rsid w:val="00F6652F"/>
    <w:rsid w:val="00F7064A"/>
    <w:rsid w:val="00F75F7C"/>
    <w:rsid w:val="00F77415"/>
    <w:rsid w:val="00F805A9"/>
    <w:rsid w:val="00F82268"/>
    <w:rsid w:val="00F82B33"/>
    <w:rsid w:val="00F90E61"/>
    <w:rsid w:val="00F9481E"/>
    <w:rsid w:val="00F95FB7"/>
    <w:rsid w:val="00FA0B29"/>
    <w:rsid w:val="00FA2EC8"/>
    <w:rsid w:val="00FA6601"/>
    <w:rsid w:val="00FA7396"/>
    <w:rsid w:val="00FB2565"/>
    <w:rsid w:val="00FB2796"/>
    <w:rsid w:val="00FB4517"/>
    <w:rsid w:val="00FB639D"/>
    <w:rsid w:val="00FB68F8"/>
    <w:rsid w:val="00FB6F39"/>
    <w:rsid w:val="00FB7100"/>
    <w:rsid w:val="00FC01DE"/>
    <w:rsid w:val="00FC1E48"/>
    <w:rsid w:val="00FC221B"/>
    <w:rsid w:val="00FC3CB0"/>
    <w:rsid w:val="00FC5FF5"/>
    <w:rsid w:val="00FC6FD6"/>
    <w:rsid w:val="00FD1C59"/>
    <w:rsid w:val="00FD27FE"/>
    <w:rsid w:val="00FD28D6"/>
    <w:rsid w:val="00FD40C5"/>
    <w:rsid w:val="00FD5B5F"/>
    <w:rsid w:val="00FE0ADF"/>
    <w:rsid w:val="00FE0C34"/>
    <w:rsid w:val="00FE4742"/>
    <w:rsid w:val="00FE5BC1"/>
    <w:rsid w:val="00FE5EBE"/>
    <w:rsid w:val="00FF0EB4"/>
    <w:rsid w:val="00FF0EDD"/>
    <w:rsid w:val="00FF5144"/>
    <w:rsid w:val="00FF5CD4"/>
    <w:rsid w:val="00FF6EE3"/>
    <w:rsid w:val="00FF75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paragraph" w:styleId="Heading1">
    <w:name w:val="heading 1"/>
    <w:basedOn w:val="Normal"/>
    <w:link w:val="Heading1Char"/>
    <w:uiPriority w:val="9"/>
    <w:qFormat/>
    <w:rsid w:val="00620A5E"/>
    <w:pPr>
      <w:spacing w:before="100" w:beforeAutospacing="1" w:after="100" w:afterAutospacing="1"/>
      <w:outlineLvl w:val="0"/>
    </w:pPr>
    <w:rPr>
      <w:rFonts w:eastAsia="Times New Roman"/>
      <w:b/>
      <w:bCs/>
      <w:kern w:val="36"/>
      <w:sz w:val="48"/>
      <w:szCs w:val="48"/>
    </w:rPr>
  </w:style>
  <w:style w:type="paragraph" w:styleId="Heading2">
    <w:name w:val="heading 2"/>
    <w:basedOn w:val="Normal"/>
    <w:link w:val="Heading2Char"/>
    <w:uiPriority w:val="9"/>
    <w:qFormat/>
    <w:rsid w:val="00620A5E"/>
    <w:pPr>
      <w:spacing w:before="100" w:beforeAutospacing="1" w:after="100" w:afterAutospacing="1"/>
      <w:outlineLvl w:val="1"/>
    </w:pPr>
    <w:rPr>
      <w:rFonts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character" w:customStyle="1" w:styleId="Heading1Char">
    <w:name w:val="Heading 1 Char"/>
    <w:basedOn w:val="DefaultParagraphFont"/>
    <w:link w:val="Heading1"/>
    <w:uiPriority w:val="9"/>
    <w:rsid w:val="00620A5E"/>
    <w:rPr>
      <w:rFonts w:eastAsia="Times New Roman"/>
      <w:b/>
      <w:bCs/>
      <w:kern w:val="36"/>
      <w:sz w:val="48"/>
      <w:szCs w:val="48"/>
    </w:rPr>
  </w:style>
  <w:style w:type="character" w:customStyle="1" w:styleId="Heading2Char">
    <w:name w:val="Heading 2 Char"/>
    <w:basedOn w:val="DefaultParagraphFont"/>
    <w:link w:val="Heading2"/>
    <w:uiPriority w:val="9"/>
    <w:rsid w:val="00620A5E"/>
    <w:rPr>
      <w:rFonts w:eastAsia="Times New Roman"/>
      <w:b/>
      <w:bCs/>
      <w:sz w:val="36"/>
      <w:szCs w:val="36"/>
    </w:rPr>
  </w:style>
  <w:style w:type="numbering" w:customStyle="1" w:styleId="NoList1">
    <w:name w:val="No List1"/>
    <w:next w:val="NoList"/>
    <w:uiPriority w:val="99"/>
    <w:semiHidden/>
    <w:unhideWhenUsed/>
    <w:rsid w:val="00620A5E"/>
  </w:style>
  <w:style w:type="paragraph" w:customStyle="1" w:styleId="m-9074501289396108005msotoc1">
    <w:name w:val="m_-9074501289396108005msotoc1"/>
    <w:basedOn w:val="Normal"/>
    <w:rsid w:val="00620A5E"/>
    <w:pPr>
      <w:spacing w:before="100" w:beforeAutospacing="1" w:after="100" w:afterAutospacing="1"/>
    </w:pPr>
    <w:rPr>
      <w:rFonts w:eastAsia="Times New Roman"/>
    </w:rPr>
  </w:style>
  <w:style w:type="character" w:styleId="Hyperlink">
    <w:name w:val="Hyperlink"/>
    <w:basedOn w:val="DefaultParagraphFont"/>
    <w:uiPriority w:val="99"/>
    <w:semiHidden/>
    <w:unhideWhenUsed/>
    <w:rsid w:val="00620A5E"/>
    <w:rPr>
      <w:color w:val="0000FF"/>
      <w:u w:val="single"/>
    </w:rPr>
  </w:style>
  <w:style w:type="character" w:styleId="FollowedHyperlink">
    <w:name w:val="FollowedHyperlink"/>
    <w:basedOn w:val="DefaultParagraphFont"/>
    <w:uiPriority w:val="99"/>
    <w:semiHidden/>
    <w:unhideWhenUsed/>
    <w:rsid w:val="00620A5E"/>
    <w:rPr>
      <w:color w:val="800080"/>
      <w:u w:val="single"/>
    </w:rPr>
  </w:style>
  <w:style w:type="paragraph" w:customStyle="1" w:styleId="m-9074501289396108005msotoc2">
    <w:name w:val="m_-9074501289396108005msotoc2"/>
    <w:basedOn w:val="Normal"/>
    <w:rsid w:val="00620A5E"/>
    <w:pPr>
      <w:spacing w:before="100" w:beforeAutospacing="1" w:after="100" w:afterAutospacing="1"/>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paragraph" w:styleId="Heading1">
    <w:name w:val="heading 1"/>
    <w:basedOn w:val="Normal"/>
    <w:link w:val="Heading1Char"/>
    <w:uiPriority w:val="9"/>
    <w:qFormat/>
    <w:rsid w:val="00620A5E"/>
    <w:pPr>
      <w:spacing w:before="100" w:beforeAutospacing="1" w:after="100" w:afterAutospacing="1"/>
      <w:outlineLvl w:val="0"/>
    </w:pPr>
    <w:rPr>
      <w:rFonts w:eastAsia="Times New Roman"/>
      <w:b/>
      <w:bCs/>
      <w:kern w:val="36"/>
      <w:sz w:val="48"/>
      <w:szCs w:val="48"/>
    </w:rPr>
  </w:style>
  <w:style w:type="paragraph" w:styleId="Heading2">
    <w:name w:val="heading 2"/>
    <w:basedOn w:val="Normal"/>
    <w:link w:val="Heading2Char"/>
    <w:uiPriority w:val="9"/>
    <w:qFormat/>
    <w:rsid w:val="00620A5E"/>
    <w:pPr>
      <w:spacing w:before="100" w:beforeAutospacing="1" w:after="100" w:afterAutospacing="1"/>
      <w:outlineLvl w:val="1"/>
    </w:pPr>
    <w:rPr>
      <w:rFonts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character" w:customStyle="1" w:styleId="Heading1Char">
    <w:name w:val="Heading 1 Char"/>
    <w:basedOn w:val="DefaultParagraphFont"/>
    <w:link w:val="Heading1"/>
    <w:uiPriority w:val="9"/>
    <w:rsid w:val="00620A5E"/>
    <w:rPr>
      <w:rFonts w:eastAsia="Times New Roman"/>
      <w:b/>
      <w:bCs/>
      <w:kern w:val="36"/>
      <w:sz w:val="48"/>
      <w:szCs w:val="48"/>
    </w:rPr>
  </w:style>
  <w:style w:type="character" w:customStyle="1" w:styleId="Heading2Char">
    <w:name w:val="Heading 2 Char"/>
    <w:basedOn w:val="DefaultParagraphFont"/>
    <w:link w:val="Heading2"/>
    <w:uiPriority w:val="9"/>
    <w:rsid w:val="00620A5E"/>
    <w:rPr>
      <w:rFonts w:eastAsia="Times New Roman"/>
      <w:b/>
      <w:bCs/>
      <w:sz w:val="36"/>
      <w:szCs w:val="36"/>
    </w:rPr>
  </w:style>
  <w:style w:type="numbering" w:customStyle="1" w:styleId="NoList1">
    <w:name w:val="No List1"/>
    <w:next w:val="NoList"/>
    <w:uiPriority w:val="99"/>
    <w:semiHidden/>
    <w:unhideWhenUsed/>
    <w:rsid w:val="00620A5E"/>
  </w:style>
  <w:style w:type="paragraph" w:customStyle="1" w:styleId="m-9074501289396108005msotoc1">
    <w:name w:val="m_-9074501289396108005msotoc1"/>
    <w:basedOn w:val="Normal"/>
    <w:rsid w:val="00620A5E"/>
    <w:pPr>
      <w:spacing w:before="100" w:beforeAutospacing="1" w:after="100" w:afterAutospacing="1"/>
    </w:pPr>
    <w:rPr>
      <w:rFonts w:eastAsia="Times New Roman"/>
    </w:rPr>
  </w:style>
  <w:style w:type="character" w:styleId="Hyperlink">
    <w:name w:val="Hyperlink"/>
    <w:basedOn w:val="DefaultParagraphFont"/>
    <w:uiPriority w:val="99"/>
    <w:semiHidden/>
    <w:unhideWhenUsed/>
    <w:rsid w:val="00620A5E"/>
    <w:rPr>
      <w:color w:val="0000FF"/>
      <w:u w:val="single"/>
    </w:rPr>
  </w:style>
  <w:style w:type="character" w:styleId="FollowedHyperlink">
    <w:name w:val="FollowedHyperlink"/>
    <w:basedOn w:val="DefaultParagraphFont"/>
    <w:uiPriority w:val="99"/>
    <w:semiHidden/>
    <w:unhideWhenUsed/>
    <w:rsid w:val="00620A5E"/>
    <w:rPr>
      <w:color w:val="800080"/>
      <w:u w:val="single"/>
    </w:rPr>
  </w:style>
  <w:style w:type="paragraph" w:customStyle="1" w:styleId="m-9074501289396108005msotoc2">
    <w:name w:val="m_-9074501289396108005msotoc2"/>
    <w:basedOn w:val="Normal"/>
    <w:rsid w:val="00620A5E"/>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932603">
      <w:bodyDiv w:val="1"/>
      <w:marLeft w:val="0"/>
      <w:marRight w:val="0"/>
      <w:marTop w:val="0"/>
      <w:marBottom w:val="0"/>
      <w:divBdr>
        <w:top w:val="none" w:sz="0" w:space="0" w:color="auto"/>
        <w:left w:val="none" w:sz="0" w:space="0" w:color="auto"/>
        <w:bottom w:val="none" w:sz="0" w:space="0" w:color="auto"/>
        <w:right w:val="none" w:sz="0" w:space="0" w:color="auto"/>
      </w:divBdr>
    </w:div>
    <w:div w:id="1198395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ail.google.com/mail/u/0/?ui=2&amp;ik=98e23e7e7e&amp;view=lg&amp;msg=16223e4e917395a5" TargetMode="External"/><Relationship Id="rId18" Type="http://schemas.openxmlformats.org/officeDocument/2006/relationships/hyperlink" Target="https://mail.google.com/mail/u/0/?ui=2&amp;ik=98e23e7e7e&amp;view=lg&amp;msg=16223e4e917395a5" TargetMode="External"/><Relationship Id="rId26" Type="http://schemas.openxmlformats.org/officeDocument/2006/relationships/hyperlink" Target="https://mail.google.com/mail/u/0/?ui=2&amp;ik=98e23e7e7e&amp;view=lg&amp;msg=16223e4e917395a5" TargetMode="External"/><Relationship Id="rId39" Type="http://schemas.openxmlformats.org/officeDocument/2006/relationships/hyperlink" Target="http://journals.giga-hamburg.de/index.php/jsaa/article/download/3043/1525" TargetMode="External"/><Relationship Id="rId21" Type="http://schemas.openxmlformats.org/officeDocument/2006/relationships/hyperlink" Target="https://mail.google.com/mail/u/0/?ui=2&amp;ik=98e23e7e7e&amp;view=lg&amp;msg=16223e4e917395a5" TargetMode="External"/><Relationship Id="rId34" Type="http://schemas.openxmlformats.org/officeDocument/2006/relationships/hyperlink" Target="https://mail.google.com/mail/u/0/?ui=2&amp;ik=98e23e7e7e&amp;view=lg&amp;msg=16223e4e917395a5" TargetMode="External"/><Relationship Id="rId42" Type="http://schemas.openxmlformats.org/officeDocument/2006/relationships/hyperlink" Target="https://mail.google.com/mail/u/0/?ui=2&amp;ik=98e23e7e7e&amp;view=lg&amp;msg=16223e4e917395a5" TargetMode="External"/><Relationship Id="rId47" Type="http://schemas.openxmlformats.org/officeDocument/2006/relationships/hyperlink" Target="https://mail.google.com/mail/u/0/?ui=2&amp;ik=98e23e7e7e&amp;view=lg&amp;msg=16223e4e917395a5" TargetMode="External"/><Relationship Id="rId50" Type="http://schemas.openxmlformats.org/officeDocument/2006/relationships/hyperlink" Target="https://www.researchgate.net/profile/Trung_Quang_Vo/publication/323256794_Acceptance_and_perceptions_of_generic_substitution_among_pharmacists_A_preliminary_study_in_Vietnam/links/5a8a319f0f7e9b1a95543035/Acceptance-and-perceptions-of-generic-substitution-among-pharmacists-A-preliminary-study-in-Vietnam.pdf" TargetMode="External"/><Relationship Id="rId55" Type="http://schemas.openxmlformats.org/officeDocument/2006/relationships/hyperlink" Target="https://mail.google.com/mail/u/0/?ui=2&amp;ik=98e23e7e7e&amp;view=lg&amp;msg=16223e4e917395a5" TargetMode="External"/><Relationship Id="rId63" Type="http://schemas.openxmlformats.org/officeDocument/2006/relationships/hyperlink" Target="mailto:nvu2@worldbankgroup.org" TargetMode="External"/><Relationship Id="rId68" Type="http://schemas.openxmlformats.org/officeDocument/2006/relationships/fontTable" Target="fontTable.xml"/><Relationship Id="rId7" Type="http://schemas.openxmlformats.org/officeDocument/2006/relationships/hyperlink" Target="http://www.sciencedirect.com/science/article/pii/S0305750X17303194" TargetMode="External"/><Relationship Id="rId2" Type="http://schemas.openxmlformats.org/officeDocument/2006/relationships/styles" Target="styles.xml"/><Relationship Id="rId16" Type="http://schemas.openxmlformats.org/officeDocument/2006/relationships/hyperlink" Target="https://mail.google.com/mail/u/0/?ui=2&amp;ik=98e23e7e7e&amp;view=lg&amp;msg=16223e4e917395a5" TargetMode="External"/><Relationship Id="rId29" Type="http://schemas.openxmlformats.org/officeDocument/2006/relationships/hyperlink" Target="https://mail.google.com/mail/u/0/?ui=2&amp;ik=98e23e7e7e&amp;view=lg&amp;msg=16223e4e917395a5" TargetMode="External"/><Relationship Id="rId1" Type="http://schemas.openxmlformats.org/officeDocument/2006/relationships/numbering" Target="numbering.xml"/><Relationship Id="rId6" Type="http://schemas.openxmlformats.org/officeDocument/2006/relationships/hyperlink" Target="https://mail.google.com/mail/u/0/?ui=2&amp;ik=98e23e7e7e&amp;view=lg&amp;msg=16223e4e917395a5" TargetMode="External"/><Relationship Id="rId11" Type="http://schemas.openxmlformats.org/officeDocument/2006/relationships/hyperlink" Target="http://as.ucpress.edu/content/58/1/149.full.pdf+html" TargetMode="External"/><Relationship Id="rId24" Type="http://schemas.openxmlformats.org/officeDocument/2006/relationships/hyperlink" Target="https://mail.google.com/mail/u/0/?ui=2&amp;ik=98e23e7e7e&amp;view=lg&amp;msg=16223e4e917395a5" TargetMode="External"/><Relationship Id="rId32" Type="http://schemas.openxmlformats.org/officeDocument/2006/relationships/hyperlink" Target="https://mail.google.com/mail/u/0/?ui=2&amp;ik=98e23e7e7e&amp;view=lg&amp;msg=16223e4e917395a5" TargetMode="External"/><Relationship Id="rId37" Type="http://schemas.openxmlformats.org/officeDocument/2006/relationships/hyperlink" Target="https://www.cambridge.org/core/services/aop-cambridge-core/content/view/B010B6B6308B0840DDF670691F2FD964/S219460781600017Xa.pdf/public-discourse-and-constitutional-change-a-comparison-of-vietnam-and-indonesia.pdf" TargetMode="External"/><Relationship Id="rId40" Type="http://schemas.openxmlformats.org/officeDocument/2006/relationships/hyperlink" Target="https://mail.google.com/mail/u/0/?ui=2&amp;ik=98e23e7e7e&amp;view=lg&amp;msg=16223e4e917395a5" TargetMode="External"/><Relationship Id="rId45" Type="http://schemas.openxmlformats.org/officeDocument/2006/relationships/hyperlink" Target="https://mail.google.com/mail/u/0/?ui=2&amp;ik=98e23e7e7e&amp;view=lg&amp;msg=16223e4e917395a5" TargetMode="External"/><Relationship Id="rId53" Type="http://schemas.openxmlformats.org/officeDocument/2006/relationships/hyperlink" Target="https://openarchive.ki.se/xmlui/bitstream/handle/10616/46214/Thesis_La_Thi_Quynh_Lien.pdf" TargetMode="External"/><Relationship Id="rId58" Type="http://schemas.openxmlformats.org/officeDocument/2006/relationships/hyperlink" Target="https://mail.google.com/mail/u/0/?ui=2&amp;ik=98e23e7e7e&amp;view=lg&amp;msg=16223e4e917395a5" TargetMode="External"/><Relationship Id="rId66" Type="http://schemas.openxmlformats.org/officeDocument/2006/relationships/hyperlink" Target="http://openknowledge.worldbank.org/" TargetMode="External"/><Relationship Id="rId5" Type="http://schemas.openxmlformats.org/officeDocument/2006/relationships/webSettings" Target="webSettings.xml"/><Relationship Id="rId15" Type="http://schemas.openxmlformats.org/officeDocument/2006/relationships/hyperlink" Target="http://www.imf.org/en/Publications/WP/Issues/2018/03/02/Does-Taxation-Stifle-Corporate-Investment-Firm-Level-Evidence-from-ASEAN-Countries-45666" TargetMode="External"/><Relationship Id="rId23" Type="http://schemas.openxmlformats.org/officeDocument/2006/relationships/hyperlink" Target="https://mail.google.com/mail/u/0/?ui=2&amp;ik=98e23e7e7e&amp;view=lg&amp;msg=16223e4e917395a5" TargetMode="External"/><Relationship Id="rId28" Type="http://schemas.openxmlformats.org/officeDocument/2006/relationships/hyperlink" Target="http://www.mdpi.com/2073-4441/10/3/266" TargetMode="External"/><Relationship Id="rId36" Type="http://schemas.openxmlformats.org/officeDocument/2006/relationships/hyperlink" Target="https://openknowledge.worldbank.org/handle/10986/29390" TargetMode="External"/><Relationship Id="rId49" Type="http://schemas.openxmlformats.org/officeDocument/2006/relationships/hyperlink" Target="https://mail.google.com/mail/u/0/?ui=2&amp;ik=98e23e7e7e&amp;view=lg&amp;msg=16223e4e917395a5" TargetMode="External"/><Relationship Id="rId57" Type="http://schemas.openxmlformats.org/officeDocument/2006/relationships/hyperlink" Target="https://ideas.repec.org/a/ebl/ecbull/eb-17-00838.html" TargetMode="External"/><Relationship Id="rId61" Type="http://schemas.openxmlformats.org/officeDocument/2006/relationships/hyperlink" Target="http://www.scirp.org/journal/PaperInformation.aspx?paperID=82791" TargetMode="External"/><Relationship Id="rId10" Type="http://schemas.openxmlformats.org/officeDocument/2006/relationships/hyperlink" Target="http://www.sciencedirect.com/science/article/pii/S104900781630224X" TargetMode="External"/><Relationship Id="rId19" Type="http://schemas.openxmlformats.org/officeDocument/2006/relationships/hyperlink" Target="https://mail.google.com/mail/u/0/?ui=2&amp;ik=98e23e7e7e&amp;view=lg&amp;msg=16223e4e917395a5" TargetMode="External"/><Relationship Id="rId31" Type="http://schemas.openxmlformats.org/officeDocument/2006/relationships/hyperlink" Target="https://mail.google.com/mail/u/0/?ui=2&amp;ik=98e23e7e7e&amp;view=lg&amp;msg=16223e4e917395a5" TargetMode="External"/><Relationship Id="rId44" Type="http://schemas.openxmlformats.org/officeDocument/2006/relationships/hyperlink" Target="http://journals.plos.org/plosone/article?id=10.1371/journal.pone.0193246" TargetMode="External"/><Relationship Id="rId52" Type="http://schemas.openxmlformats.org/officeDocument/2006/relationships/hyperlink" Target="https://www.jstage.jst.go.jp/article/yakushi/138/3/138_17-00177-1/_pdf/-char/ja" TargetMode="External"/><Relationship Id="rId60" Type="http://schemas.openxmlformats.org/officeDocument/2006/relationships/hyperlink" Target="http://aqua.iwaponline.com/content/ppiwajwsrt/early/2018/02/21/aqua.2018.094.full.pdf" TargetMode="External"/><Relationship Id="rId65" Type="http://schemas.openxmlformats.org/officeDocument/2006/relationships/hyperlink" Target="http://www.worldbank.org/documents" TargetMode="External"/><Relationship Id="rId4" Type="http://schemas.openxmlformats.org/officeDocument/2006/relationships/settings" Target="settings.xml"/><Relationship Id="rId9" Type="http://schemas.openxmlformats.org/officeDocument/2006/relationships/hyperlink" Target="https://mail.google.com/mail/u/0/?ui=2&amp;ik=98e23e7e7e&amp;view=lg&amp;msg=16223e4e917395a5" TargetMode="External"/><Relationship Id="rId14" Type="http://schemas.openxmlformats.org/officeDocument/2006/relationships/hyperlink" Target="http://www.lcerpa.org/public/papers/LCERPA_2018_7.pdf" TargetMode="External"/><Relationship Id="rId22" Type="http://schemas.openxmlformats.org/officeDocument/2006/relationships/hyperlink" Target="http://documents.worldbank.org/curated/en/530071520516750941/Economic-and-distributional-impacts-of-comprehensive-and-progressive-agreement-for-trans-pacific-partnership-the-case-of-Vietnam" TargetMode="External"/><Relationship Id="rId27" Type="http://schemas.openxmlformats.org/officeDocument/2006/relationships/hyperlink" Target="https://mail.google.com/mail/u/0/?ui=2&amp;ik=98e23e7e7e&amp;view=lg&amp;msg=16223e4e917395a5" TargetMode="External"/><Relationship Id="rId30" Type="http://schemas.openxmlformats.org/officeDocument/2006/relationships/hyperlink" Target="https://mail.google.com/mail/u/0/?ui=2&amp;ik=98e23e7e7e&amp;view=lg&amp;msg=16223e4e917395a5" TargetMode="External"/><Relationship Id="rId35" Type="http://schemas.openxmlformats.org/officeDocument/2006/relationships/hyperlink" Target="https://mail.google.com/mail/u/0/?ui=2&amp;ik=98e23e7e7e&amp;view=lg&amp;msg=16223e4e917395a5" TargetMode="External"/><Relationship Id="rId43" Type="http://schemas.openxmlformats.org/officeDocument/2006/relationships/hyperlink" Target="https://mail.google.com/mail/u/0/?ui=2&amp;ik=98e23e7e7e&amp;view=lg&amp;msg=16223e4e917395a5" TargetMode="External"/><Relationship Id="rId48" Type="http://schemas.openxmlformats.org/officeDocument/2006/relationships/hyperlink" Target="http://gh.bmj.com/content/bmjgh/3/1/e000632.full.pdf" TargetMode="External"/><Relationship Id="rId56" Type="http://schemas.openxmlformats.org/officeDocument/2006/relationships/hyperlink" Target="https://mail.google.com/mail/u/0/?ui=2&amp;ik=98e23e7e7e&amp;view=lg&amp;msg=16223e4e917395a5" TargetMode="External"/><Relationship Id="rId64" Type="http://schemas.openxmlformats.org/officeDocument/2006/relationships/hyperlink" Target="http://www.worldbank.org.vn/" TargetMode="External"/><Relationship Id="rId69" Type="http://schemas.openxmlformats.org/officeDocument/2006/relationships/theme" Target="theme/theme1.xml"/><Relationship Id="rId8" Type="http://schemas.openxmlformats.org/officeDocument/2006/relationships/hyperlink" Target="https://mail.google.com/mail/u/0/?ui=2&amp;ik=98e23e7e7e&amp;view=lg&amp;msg=16223e4e917395a5" TargetMode="External"/><Relationship Id="rId51" Type="http://schemas.openxmlformats.org/officeDocument/2006/relationships/hyperlink" Target="https://mail.google.com/mail/u/0/?ui=2&amp;ik=98e23e7e7e&amp;view=lg&amp;msg=16223e4e917395a5" TargetMode="External"/><Relationship Id="rId3" Type="http://schemas.microsoft.com/office/2007/relationships/stylesWithEffects" Target="stylesWithEffects.xml"/><Relationship Id="rId12" Type="http://schemas.openxmlformats.org/officeDocument/2006/relationships/hyperlink" Target="http://tcer.or.jp/wp/pdf/e111.pdf" TargetMode="External"/><Relationship Id="rId17" Type="http://schemas.openxmlformats.org/officeDocument/2006/relationships/hyperlink" Target="https://mpra.ub.uni-muenchen.de/84367/1/MPRA_paper_84367.pdf" TargetMode="External"/><Relationship Id="rId25" Type="http://schemas.openxmlformats.org/officeDocument/2006/relationships/hyperlink" Target="https://mail.google.com/mail/u/0/?ui=2&amp;ik=98e23e7e7e&amp;view=lg&amp;msg=16223e4e917395a5" TargetMode="External"/><Relationship Id="rId33" Type="http://schemas.openxmlformats.org/officeDocument/2006/relationships/hyperlink" Target="http://downloads.hindawi.com/journals/jchem/2018/8521012.pdf" TargetMode="External"/><Relationship Id="rId38" Type="http://schemas.openxmlformats.org/officeDocument/2006/relationships/hyperlink" Target="https://mail.google.com/mail/u/0/?ui=2&amp;ik=98e23e7e7e&amp;view=lg&amp;msg=16223e4e917395a5" TargetMode="External"/><Relationship Id="rId46" Type="http://schemas.openxmlformats.org/officeDocument/2006/relationships/hyperlink" Target="https://doi.org/10.1186/s12879-018-3029-5" TargetMode="External"/><Relationship Id="rId59" Type="http://schemas.openxmlformats.org/officeDocument/2006/relationships/hyperlink" Target="http://onlinelibrary.wiley.com/doi/10.1002/2017EF000777/pdf" TargetMode="External"/><Relationship Id="rId67" Type="http://schemas.openxmlformats.org/officeDocument/2006/relationships/hyperlink" Target="http://data.worldbank.org/" TargetMode="External"/><Relationship Id="rId20" Type="http://schemas.openxmlformats.org/officeDocument/2006/relationships/hyperlink" Target="https://www.cambridge.org/core/books/geographical-indications-at-the-crossroads-of-trade-development-and-culture/use-of-geographical-indications-in-vietnam-a-promising-tool-for-socioeconomic-development/DF1D84B8C27CC679C5C4832B15472C8B" TargetMode="External"/><Relationship Id="rId41" Type="http://schemas.openxmlformats.org/officeDocument/2006/relationships/hyperlink" Target="https://www.frontiersin.org/articles/10.3389/fvets.2018.00051/abstract" TargetMode="External"/><Relationship Id="rId54" Type="http://schemas.openxmlformats.org/officeDocument/2006/relationships/hyperlink" Target="https://mail.google.com/mail/u/0/?ui=2&amp;ik=98e23e7e7e&amp;view=lg&amp;msg=16223e4e917395a5" TargetMode="External"/><Relationship Id="rId62" Type="http://schemas.openxmlformats.org/officeDocument/2006/relationships/hyperlink" Target="https://mail.google.com/mail/u/0/?ui=2&amp;ik=98e23e7e7e&amp;view=lg&amp;msg=16223e4e917395a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48</Pages>
  <Words>20902</Words>
  <Characters>119145</Characters>
  <Application>Microsoft Office Word</Application>
  <DocSecurity>0</DocSecurity>
  <Lines>992</Lines>
  <Paragraphs>279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3</cp:revision>
  <dcterms:created xsi:type="dcterms:W3CDTF">2018-03-14T15:31:00Z</dcterms:created>
  <dcterms:modified xsi:type="dcterms:W3CDTF">2018-03-14T15:43:00Z</dcterms:modified>
</cp:coreProperties>
</file>