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EEE" w:rsidRPr="000D58FA" w:rsidRDefault="00573EEE" w:rsidP="00573EEE">
      <w:pPr>
        <w:spacing w:before="100" w:beforeAutospacing="1" w:after="100" w:afterAutospacing="1"/>
        <w:rPr>
          <w:rFonts w:eastAsia="Times New Roman"/>
          <w:color w:val="C00000"/>
        </w:rPr>
      </w:pPr>
      <w:bookmarkStart w:id="0" w:name="_top"/>
      <w:bookmarkEnd w:id="0"/>
      <w:r w:rsidRPr="000D58FA">
        <w:rPr>
          <w:rFonts w:eastAsia="Times New Roman"/>
          <w:b/>
          <w:bCs/>
          <w:color w:val="C00000"/>
        </w:rPr>
        <w:t>New research on development issues in Vietnam - Volume 10, number 1 (2018 January 8)</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hyperlink r:id="rId6" w:history="1">
        <w:r w:rsidRPr="00573EEE">
          <w:rPr>
            <w:rFonts w:eastAsia="Times New Roman"/>
            <w:color w:val="0000FF"/>
            <w:u w:val="single"/>
          </w:rPr>
          <w:t>Agriculture and Rural development</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4" w:history="1">
        <w:r w:rsidRPr="00573EEE">
          <w:rPr>
            <w:rFonts w:eastAsia="Times New Roman"/>
            <w:color w:val="0000FF"/>
            <w:u w:val="single"/>
          </w:rPr>
          <w:t>Market implications of the integration scenario of Southeast Asian rice markets.</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5" w:history="1">
        <w:r w:rsidRPr="00573EEE">
          <w:rPr>
            <w:rFonts w:eastAsia="Times New Roman"/>
            <w:color w:val="0000FF"/>
            <w:u w:val="single"/>
          </w:rPr>
          <w:t>Understanding smallholder farmers’ capacity to respond to climate change in a coastal community in Central Vietnam.</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6" w:history="1">
        <w:r w:rsidRPr="00573EEE">
          <w:rPr>
            <w:rFonts w:eastAsia="Times New Roman"/>
            <w:color w:val="0000FF"/>
            <w:u w:val="single"/>
          </w:rPr>
          <w:t>The water-land-food nexus of natural rubber production.</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7" w:history="1">
        <w:r w:rsidRPr="00573EEE">
          <w:rPr>
            <w:rFonts w:eastAsia="Times New Roman"/>
            <w:color w:val="0000FF"/>
            <w:u w:val="single"/>
          </w:rPr>
          <w:t xml:space="preserve">Assessment of household risk management strategies for coastal aquaculture: the case of clam farming in </w:t>
        </w:r>
        <w:proofErr w:type="spellStart"/>
        <w:r w:rsidRPr="00573EEE">
          <w:rPr>
            <w:rFonts w:eastAsia="Times New Roman"/>
            <w:color w:val="0000FF"/>
            <w:u w:val="single"/>
          </w:rPr>
          <w:t>Thaibinh</w:t>
        </w:r>
        <w:proofErr w:type="spellEnd"/>
        <w:r w:rsidRPr="00573EEE">
          <w:rPr>
            <w:rFonts w:eastAsia="Times New Roman"/>
            <w:color w:val="0000FF"/>
            <w:u w:val="single"/>
          </w:rPr>
          <w:t xml:space="preserve"> Province, Vietnam.</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8" w:history="1">
        <w:r w:rsidRPr="00573EEE">
          <w:rPr>
            <w:rFonts w:eastAsia="Times New Roman"/>
            <w:color w:val="0000FF"/>
            <w:u w:val="single"/>
          </w:rPr>
          <w:t>Agroforestry: Contribution to food security and climate-change adaptation and mitigation in Southeast Asia: WHITE PAPER.</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39" w:history="1">
        <w:r w:rsidRPr="00573EEE">
          <w:rPr>
            <w:rFonts w:eastAsia="Times New Roman"/>
            <w:color w:val="0000FF"/>
            <w:u w:val="single"/>
          </w:rPr>
          <w:t xml:space="preserve">The role of State Forest Enterprises in the payments for Forest Environmental Services </w:t>
        </w:r>
        <w:proofErr w:type="spellStart"/>
        <w:r w:rsidRPr="00573EEE">
          <w:rPr>
            <w:rFonts w:eastAsia="Times New Roman"/>
            <w:color w:val="0000FF"/>
            <w:u w:val="single"/>
          </w:rPr>
          <w:t>Programme</w:t>
        </w:r>
        <w:proofErr w:type="spellEnd"/>
        <w:r w:rsidRPr="00573EEE">
          <w:rPr>
            <w:rFonts w:eastAsia="Times New Roman"/>
            <w:color w:val="0000FF"/>
            <w:u w:val="single"/>
          </w:rPr>
          <w:t xml:space="preserve"> in Vietnam.</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40" w:history="1">
        <w:r w:rsidRPr="00573EEE">
          <w:rPr>
            <w:rFonts w:eastAsia="Times New Roman"/>
            <w:color w:val="0000FF"/>
            <w:u w:val="single"/>
          </w:rPr>
          <w:t xml:space="preserve">Enhancing farmers’ market power and income in the pig value chain; a case study in </w:t>
        </w:r>
        <w:proofErr w:type="gramStart"/>
        <w:r w:rsidRPr="00573EEE">
          <w:rPr>
            <w:rFonts w:eastAsia="Times New Roman"/>
            <w:color w:val="0000FF"/>
            <w:u w:val="single"/>
          </w:rPr>
          <w:t>Bac</w:t>
        </w:r>
        <w:proofErr w:type="gramEnd"/>
        <w:r w:rsidRPr="00573EEE">
          <w:rPr>
            <w:rFonts w:eastAsia="Times New Roman"/>
            <w:color w:val="0000FF"/>
            <w:u w:val="single"/>
          </w:rPr>
          <w:t xml:space="preserve"> </w:t>
        </w:r>
        <w:proofErr w:type="spellStart"/>
        <w:r w:rsidRPr="00573EEE">
          <w:rPr>
            <w:rFonts w:eastAsia="Times New Roman"/>
            <w:color w:val="0000FF"/>
            <w:u w:val="single"/>
          </w:rPr>
          <w:t>Giang</w:t>
        </w:r>
        <w:proofErr w:type="spellEnd"/>
        <w:r w:rsidRPr="00573EEE">
          <w:rPr>
            <w:rFonts w:eastAsia="Times New Roman"/>
            <w:color w:val="0000FF"/>
            <w:u w:val="single"/>
          </w:rPr>
          <w:t xml:space="preserve"> province, Vietnam.</w:t>
        </w:r>
      </w:hyperlink>
    </w:p>
    <w:p w:rsidR="00573EEE" w:rsidRPr="00573EEE" w:rsidRDefault="00573EEE" w:rsidP="00573EEE">
      <w:pPr>
        <w:numPr>
          <w:ilvl w:val="0"/>
          <w:numId w:val="1"/>
        </w:numPr>
        <w:spacing w:before="100" w:beforeAutospacing="1" w:after="100" w:afterAutospacing="1"/>
        <w:rPr>
          <w:rFonts w:eastAsia="Times New Roman"/>
        </w:rPr>
      </w:pPr>
      <w:hyperlink w:anchor="m_-1474714270548722956__Toc502846041" w:history="1">
        <w:r w:rsidRPr="00573EEE">
          <w:rPr>
            <w:rFonts w:eastAsia="Times New Roman"/>
            <w:color w:val="0000FF"/>
            <w:u w:val="single"/>
          </w:rPr>
          <w:t>The political economy of policy exceptionalism during economic transition: the case of rice policy in Vietnam.</w:t>
        </w:r>
      </w:hyperlink>
    </w:p>
    <w:p w:rsidR="00573EEE" w:rsidRPr="00573EEE" w:rsidRDefault="00573EEE" w:rsidP="00573EEE">
      <w:pPr>
        <w:spacing w:before="100" w:beforeAutospacing="1" w:after="100" w:afterAutospacing="1"/>
        <w:rPr>
          <w:rFonts w:eastAsia="Times New Roman"/>
        </w:rPr>
      </w:pPr>
      <w:hyperlink w:anchor="m_-1474714270548722956__Toc502846042" w:history="1">
        <w:r w:rsidRPr="00573EEE">
          <w:rPr>
            <w:rFonts w:eastAsia="Times New Roman"/>
            <w:color w:val="0000FF"/>
            <w:u w:val="single"/>
          </w:rPr>
          <w:t>Economic development</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3" w:history="1">
        <w:r w:rsidRPr="00573EEE">
          <w:rPr>
            <w:rFonts w:eastAsia="Times New Roman"/>
            <w:color w:val="0000FF"/>
            <w:u w:val="single"/>
          </w:rPr>
          <w:t>Bank Competition and Financial Stability: Empirical Evidence in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4" w:history="1">
        <w:r w:rsidRPr="00573EEE">
          <w:rPr>
            <w:rFonts w:eastAsia="Times New Roman"/>
            <w:color w:val="0000FF"/>
            <w:u w:val="single"/>
          </w:rPr>
          <w:t>The Determinants of People Credit Funds Efficiency in Mekong Delta of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5" w:history="1">
        <w:r w:rsidRPr="00573EEE">
          <w:rPr>
            <w:rFonts w:eastAsia="Times New Roman"/>
            <w:color w:val="0000FF"/>
            <w:u w:val="single"/>
          </w:rPr>
          <w:t>The Effect of Macroeconomic Factors on Investor Purchase Decision: The Case Study of HOSE.</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6" w:history="1">
        <w:r w:rsidRPr="00573EEE">
          <w:rPr>
            <w:rFonts w:eastAsia="Times New Roman"/>
            <w:color w:val="0000FF"/>
            <w:u w:val="single"/>
          </w:rPr>
          <w:t>The Effects of Foreign Bank Entry, Deregulation on Bank Efficiency in Vietnam: Stochastic Frontier Analysis Approach.</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7" w:history="1">
        <w:r w:rsidRPr="00573EEE">
          <w:rPr>
            <w:rFonts w:eastAsia="Times New Roman"/>
            <w:color w:val="0000FF"/>
            <w:u w:val="single"/>
          </w:rPr>
          <w:t>Zero Interest Rate for the US Dollar Deposit and Dollarization: The Case of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8" w:history="1">
        <w:r w:rsidRPr="00573EEE">
          <w:rPr>
            <w:rFonts w:eastAsia="Times New Roman"/>
            <w:color w:val="0000FF"/>
            <w:u w:val="single"/>
          </w:rPr>
          <w:t xml:space="preserve">Representing </w:t>
        </w:r>
        <w:proofErr w:type="spellStart"/>
        <w:r w:rsidRPr="00573EEE">
          <w:rPr>
            <w:rFonts w:eastAsia="Times New Roman"/>
            <w:color w:val="0000FF"/>
            <w:u w:val="single"/>
          </w:rPr>
          <w:t>Doi</w:t>
        </w:r>
        <w:proofErr w:type="spellEnd"/>
        <w:r w:rsidRPr="00573EEE">
          <w:rPr>
            <w:rFonts w:eastAsia="Times New Roman"/>
            <w:color w:val="0000FF"/>
            <w:u w:val="single"/>
          </w:rPr>
          <w:t xml:space="preserve"> </w:t>
        </w:r>
        <w:proofErr w:type="spellStart"/>
        <w:r w:rsidRPr="00573EEE">
          <w:rPr>
            <w:rFonts w:eastAsia="Times New Roman"/>
            <w:color w:val="0000FF"/>
            <w:u w:val="single"/>
          </w:rPr>
          <w:t>Moi</w:t>
        </w:r>
        <w:proofErr w:type="spellEnd"/>
        <w:r w:rsidRPr="00573EEE">
          <w:rPr>
            <w:rFonts w:eastAsia="Times New Roman"/>
            <w:color w:val="0000FF"/>
            <w:u w:val="single"/>
          </w:rPr>
          <w:t>: history, memory and shifting national narratives in late-socialist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49" w:history="1">
        <w:r w:rsidRPr="00573EEE">
          <w:rPr>
            <w:rFonts w:eastAsia="Times New Roman"/>
            <w:color w:val="0000FF"/>
            <w:u w:val="single"/>
          </w:rPr>
          <w:t>Anti-Chinese Protest in Vietnam: Complex Conjunctures of Resource Governance, Geopolitics and State–Society Deadlock.</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0" w:history="1">
        <w:r w:rsidRPr="00573EEE">
          <w:rPr>
            <w:rFonts w:eastAsia="Times New Roman"/>
            <w:color w:val="0000FF"/>
            <w:u w:val="single"/>
          </w:rPr>
          <w:t>Segmentation and informality in Vietnam: A survey of the literature.</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1" w:history="1">
        <w:r w:rsidRPr="00573EEE">
          <w:rPr>
            <w:rFonts w:eastAsia="Times New Roman"/>
            <w:color w:val="0000FF"/>
            <w:u w:val="single"/>
          </w:rPr>
          <w:t>Sets of Sustainable Development Indicators in Vietnam: Status and Solutions.</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2" w:history="1">
        <w:r w:rsidRPr="00573EEE">
          <w:rPr>
            <w:rFonts w:eastAsia="Times New Roman"/>
            <w:color w:val="0000FF"/>
            <w:u w:val="single"/>
          </w:rPr>
          <w:t>Evaluating the Impact of Factors on the Shift of Economic Structure in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3" w:history="1">
        <w:r w:rsidRPr="00573EEE">
          <w:rPr>
            <w:rFonts w:eastAsia="Times New Roman"/>
            <w:color w:val="0000FF"/>
            <w:u w:val="single"/>
          </w:rPr>
          <w:t>Explaining micro entrepreneurship in rural Vietnam-a multilevel analysis.</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4" w:history="1">
        <w:r w:rsidRPr="00573EEE">
          <w:rPr>
            <w:rFonts w:eastAsia="Times New Roman"/>
            <w:color w:val="0000FF"/>
            <w:u w:val="single"/>
          </w:rPr>
          <w:t>FDI, Global Value Chains, and Local Sourcing in Developing Countries.</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5" w:history="1">
        <w:proofErr w:type="spellStart"/>
        <w:r w:rsidRPr="00573EEE">
          <w:rPr>
            <w:rFonts w:eastAsia="Times New Roman"/>
            <w:color w:val="0000FF"/>
            <w:u w:val="single"/>
          </w:rPr>
          <w:t>Analysing</w:t>
        </w:r>
        <w:proofErr w:type="spellEnd"/>
        <w:r w:rsidRPr="00573EEE">
          <w:rPr>
            <w:rFonts w:eastAsia="Times New Roman"/>
            <w:color w:val="0000FF"/>
            <w:u w:val="single"/>
          </w:rPr>
          <w:t xml:space="preserve"> the Effects of the Exporting on Economic Growth in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6" w:history="1">
        <w:r w:rsidRPr="00573EEE">
          <w:rPr>
            <w:rFonts w:eastAsia="Times New Roman"/>
            <w:color w:val="0000FF"/>
            <w:u w:val="single"/>
          </w:rPr>
          <w:t>The Effects of Mega-Regional Trade Agreements on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7" w:history="1">
        <w:r w:rsidRPr="00573EEE">
          <w:rPr>
            <w:rFonts w:eastAsia="Times New Roman"/>
            <w:color w:val="0000FF"/>
            <w:u w:val="single"/>
          </w:rPr>
          <w:t>Vulnerability from trade in Vietnam.</w:t>
        </w:r>
      </w:hyperlink>
    </w:p>
    <w:p w:rsidR="00573EEE" w:rsidRPr="00573EEE" w:rsidRDefault="00573EEE" w:rsidP="00573EEE">
      <w:pPr>
        <w:numPr>
          <w:ilvl w:val="0"/>
          <w:numId w:val="2"/>
        </w:numPr>
        <w:spacing w:before="100" w:beforeAutospacing="1" w:after="100" w:afterAutospacing="1"/>
        <w:rPr>
          <w:rFonts w:eastAsia="Times New Roman"/>
        </w:rPr>
      </w:pPr>
      <w:hyperlink w:anchor="m_-1474714270548722956__Toc502846058" w:history="1">
        <w:r w:rsidRPr="00573EEE">
          <w:rPr>
            <w:rFonts w:eastAsia="Times New Roman"/>
            <w:color w:val="0000FF"/>
            <w:u w:val="single"/>
          </w:rPr>
          <w:t>Services Liberalization in Vietnam: The Case of FDI in Logistics Sector.</w:t>
        </w:r>
      </w:hyperlink>
    </w:p>
    <w:p w:rsidR="00573EEE" w:rsidRPr="00573EEE" w:rsidRDefault="00573EEE" w:rsidP="00573EEE">
      <w:pPr>
        <w:spacing w:before="100" w:beforeAutospacing="1" w:after="100" w:afterAutospacing="1"/>
        <w:rPr>
          <w:rFonts w:eastAsia="Times New Roman"/>
        </w:rPr>
      </w:pPr>
      <w:hyperlink w:anchor="m_-1474714270548722956__Toc502846059" w:history="1">
        <w:r w:rsidRPr="00573EEE">
          <w:rPr>
            <w:rFonts w:eastAsia="Times New Roman"/>
            <w:color w:val="0000FF"/>
            <w:u w:val="single"/>
          </w:rPr>
          <w:t>Education</w:t>
        </w:r>
      </w:hyperlink>
    </w:p>
    <w:p w:rsidR="00573EEE" w:rsidRPr="00573EEE" w:rsidRDefault="00573EEE" w:rsidP="00573EEE">
      <w:pPr>
        <w:numPr>
          <w:ilvl w:val="0"/>
          <w:numId w:val="3"/>
        </w:numPr>
        <w:spacing w:before="100" w:beforeAutospacing="1" w:after="100" w:afterAutospacing="1"/>
        <w:rPr>
          <w:rFonts w:eastAsia="Times New Roman"/>
        </w:rPr>
      </w:pPr>
      <w:hyperlink w:anchor="m_-1474714270548722956__Toc502846060" w:history="1">
        <w:r w:rsidRPr="00573EEE">
          <w:rPr>
            <w:rFonts w:eastAsia="Times New Roman"/>
            <w:color w:val="0000FF"/>
            <w:u w:val="single"/>
          </w:rPr>
          <w:t>Education and transition to work: Evidence from Vietnam, Cambodia and Nepal.</w:t>
        </w:r>
      </w:hyperlink>
    </w:p>
    <w:p w:rsidR="00573EEE" w:rsidRPr="00573EEE" w:rsidRDefault="00573EEE" w:rsidP="00573EEE">
      <w:pPr>
        <w:numPr>
          <w:ilvl w:val="0"/>
          <w:numId w:val="3"/>
        </w:numPr>
        <w:spacing w:before="100" w:beforeAutospacing="1" w:after="100" w:afterAutospacing="1"/>
        <w:rPr>
          <w:rFonts w:eastAsia="Times New Roman"/>
        </w:rPr>
      </w:pPr>
      <w:hyperlink w:anchor="m_-1474714270548722956__Toc502846061" w:history="1">
        <w:r w:rsidRPr="00573EEE">
          <w:rPr>
            <w:rFonts w:eastAsia="Times New Roman"/>
            <w:color w:val="0000FF"/>
            <w:u w:val="single"/>
          </w:rPr>
          <w:t>Enhancing graduate work-readiness in Vietnam.</w:t>
        </w:r>
      </w:hyperlink>
    </w:p>
    <w:p w:rsidR="00573EEE" w:rsidRPr="00573EEE" w:rsidRDefault="00573EEE" w:rsidP="00573EEE">
      <w:pPr>
        <w:numPr>
          <w:ilvl w:val="0"/>
          <w:numId w:val="3"/>
        </w:numPr>
        <w:spacing w:before="100" w:beforeAutospacing="1" w:after="100" w:afterAutospacing="1"/>
        <w:rPr>
          <w:rFonts w:eastAsia="Times New Roman"/>
        </w:rPr>
      </w:pPr>
      <w:hyperlink w:anchor="m_-1474714270548722956__Toc502846062" w:history="1">
        <w:r w:rsidRPr="00573EEE">
          <w:rPr>
            <w:rFonts w:eastAsia="Times New Roman"/>
            <w:color w:val="0000FF"/>
            <w:u w:val="single"/>
          </w:rPr>
          <w:t>Profit and prejudice: a critique of private English language education in Vietnam.</w:t>
        </w:r>
      </w:hyperlink>
    </w:p>
    <w:p w:rsidR="00573EEE" w:rsidRPr="00573EEE" w:rsidRDefault="00573EEE" w:rsidP="00573EEE">
      <w:pPr>
        <w:spacing w:before="100" w:beforeAutospacing="1" w:after="100" w:afterAutospacing="1"/>
        <w:rPr>
          <w:rFonts w:eastAsia="Times New Roman"/>
        </w:rPr>
      </w:pPr>
      <w:hyperlink w:anchor="m_-1474714270548722956__Toc502846063" w:history="1">
        <w:r w:rsidRPr="00573EEE">
          <w:rPr>
            <w:rFonts w:eastAsia="Times New Roman"/>
            <w:color w:val="0000FF"/>
            <w:u w:val="single"/>
          </w:rPr>
          <w:t>Environment</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4" w:history="1">
        <w:r w:rsidRPr="00573EEE">
          <w:rPr>
            <w:rFonts w:eastAsia="Times New Roman"/>
            <w:color w:val="0000FF"/>
            <w:u w:val="single"/>
          </w:rPr>
          <w:t>Conservation of the Mekong Delta wetlands through hydrological management.</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5" w:history="1">
        <w:r w:rsidRPr="00573EEE">
          <w:rPr>
            <w:rFonts w:eastAsia="Times New Roman"/>
            <w:color w:val="0000FF"/>
            <w:u w:val="single"/>
          </w:rPr>
          <w:t>Toward successful implementation of conservation research: A case study from Vietnam.</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6" w:history="1">
        <w:r w:rsidRPr="00573EEE">
          <w:rPr>
            <w:rFonts w:eastAsia="Times New Roman"/>
            <w:color w:val="0000FF"/>
            <w:u w:val="single"/>
          </w:rPr>
          <w:t>Adaptation to Sea Level Rise: A Multidisciplinary Analysis for Ho Chi Minh City, Vietnam.</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7" w:history="1">
        <w:r w:rsidRPr="00573EEE">
          <w:rPr>
            <w:rFonts w:eastAsia="Times New Roman"/>
            <w:color w:val="0000FF"/>
            <w:u w:val="single"/>
          </w:rPr>
          <w:t>Intra-household impacts of climate hazards and autonomous adaptation in selected coastal areas of Vietnam.</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8" w:history="1">
        <w:r w:rsidRPr="00573EEE">
          <w:rPr>
            <w:rFonts w:eastAsia="Times New Roman"/>
            <w:color w:val="0000FF"/>
            <w:u w:val="single"/>
          </w:rPr>
          <w:t xml:space="preserve">A </w:t>
        </w:r>
        <w:proofErr w:type="spellStart"/>
        <w:r w:rsidRPr="00573EEE">
          <w:rPr>
            <w:rFonts w:eastAsia="Times New Roman"/>
            <w:color w:val="0000FF"/>
            <w:u w:val="single"/>
          </w:rPr>
          <w:t>Macromarketing</w:t>
        </w:r>
        <w:proofErr w:type="spellEnd"/>
        <w:r w:rsidRPr="00573EEE">
          <w:rPr>
            <w:rFonts w:eastAsia="Times New Roman"/>
            <w:color w:val="0000FF"/>
            <w:u w:val="single"/>
          </w:rPr>
          <w:t xml:space="preserve"> View of Sustainable Development in Vietnam.</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69" w:history="1">
        <w:r w:rsidRPr="00573EEE">
          <w:rPr>
            <w:rFonts w:eastAsia="Times New Roman"/>
            <w:color w:val="0000FF"/>
            <w:u w:val="single"/>
          </w:rPr>
          <w:t xml:space="preserve">Arsenic residue in residential area after cleanup of pesticide illegal dumping sources in Thanh </w:t>
        </w:r>
        <w:proofErr w:type="spellStart"/>
        <w:r w:rsidRPr="00573EEE">
          <w:rPr>
            <w:rFonts w:eastAsia="Times New Roman"/>
            <w:color w:val="0000FF"/>
            <w:u w:val="single"/>
          </w:rPr>
          <w:t>Hoa</w:t>
        </w:r>
        <w:proofErr w:type="spellEnd"/>
        <w:r w:rsidRPr="00573EEE">
          <w:rPr>
            <w:rFonts w:eastAsia="Times New Roman"/>
            <w:color w:val="0000FF"/>
            <w:u w:val="single"/>
          </w:rPr>
          <w:t xml:space="preserve"> province, Central Vietnam.</w:t>
        </w:r>
      </w:hyperlink>
    </w:p>
    <w:p w:rsidR="00573EEE" w:rsidRPr="00573EEE" w:rsidRDefault="00573EEE" w:rsidP="00573EEE">
      <w:pPr>
        <w:numPr>
          <w:ilvl w:val="0"/>
          <w:numId w:val="4"/>
        </w:numPr>
        <w:spacing w:before="100" w:beforeAutospacing="1" w:after="100" w:afterAutospacing="1"/>
        <w:rPr>
          <w:rFonts w:eastAsia="Times New Roman"/>
        </w:rPr>
      </w:pPr>
      <w:hyperlink w:anchor="m_-1474714270548722956__Toc502846070" w:history="1">
        <w:r w:rsidRPr="00573EEE">
          <w:rPr>
            <w:rFonts w:eastAsia="Times New Roman"/>
            <w:color w:val="0000FF"/>
            <w:u w:val="single"/>
          </w:rPr>
          <w:t>Oyster Contamination with Human Noroviruses Impacted by Urban Drainage and Seasonal Flooding in Vietnam.</w:t>
        </w:r>
      </w:hyperlink>
    </w:p>
    <w:p w:rsidR="00573EEE" w:rsidRPr="00573EEE" w:rsidRDefault="00573EEE" w:rsidP="00573EEE">
      <w:pPr>
        <w:spacing w:before="100" w:beforeAutospacing="1" w:after="100" w:afterAutospacing="1"/>
        <w:rPr>
          <w:rFonts w:eastAsia="Times New Roman"/>
        </w:rPr>
      </w:pPr>
      <w:hyperlink w:anchor="m_-1474714270548722956__Toc502846071" w:history="1">
        <w:r w:rsidRPr="00573EEE">
          <w:rPr>
            <w:rFonts w:eastAsia="Times New Roman"/>
            <w:color w:val="0000FF"/>
            <w:u w:val="single"/>
          </w:rPr>
          <w:t>Governance</w:t>
        </w:r>
      </w:hyperlink>
    </w:p>
    <w:p w:rsidR="00573EEE" w:rsidRPr="00573EEE" w:rsidRDefault="00573EEE" w:rsidP="00573EEE">
      <w:pPr>
        <w:numPr>
          <w:ilvl w:val="0"/>
          <w:numId w:val="5"/>
        </w:numPr>
        <w:spacing w:before="100" w:beforeAutospacing="1" w:after="100" w:afterAutospacing="1"/>
        <w:rPr>
          <w:rFonts w:eastAsia="Times New Roman"/>
        </w:rPr>
      </w:pPr>
      <w:hyperlink w:anchor="m_-1474714270548722956__Toc502846072" w:history="1">
        <w:r w:rsidRPr="00573EEE">
          <w:rPr>
            <w:rFonts w:eastAsia="Times New Roman"/>
            <w:color w:val="0000FF"/>
            <w:u w:val="single"/>
          </w:rPr>
          <w:t>Public Sector Reform and National Development in East and Southeast Asia: Specificity and Commonality.</w:t>
        </w:r>
      </w:hyperlink>
    </w:p>
    <w:p w:rsidR="00573EEE" w:rsidRPr="00573EEE" w:rsidRDefault="00573EEE" w:rsidP="00573EEE">
      <w:pPr>
        <w:numPr>
          <w:ilvl w:val="0"/>
          <w:numId w:val="5"/>
        </w:numPr>
        <w:spacing w:before="100" w:beforeAutospacing="1" w:after="100" w:afterAutospacing="1"/>
        <w:rPr>
          <w:rFonts w:eastAsia="Times New Roman"/>
        </w:rPr>
      </w:pPr>
      <w:hyperlink w:anchor="m_-1474714270548722956__Toc502846073" w:history="1">
        <w:r w:rsidRPr="00573EEE">
          <w:rPr>
            <w:rFonts w:eastAsia="Times New Roman"/>
            <w:color w:val="0000FF"/>
            <w:u w:val="single"/>
          </w:rPr>
          <w:t>Factors influencing people’s knowledge, attitude, and practice in land use dynamics: A case study in Ca Mau province in the Mekong delta, Vietnam.</w:t>
        </w:r>
      </w:hyperlink>
    </w:p>
    <w:p w:rsidR="00573EEE" w:rsidRPr="00573EEE" w:rsidRDefault="00573EEE" w:rsidP="00573EEE">
      <w:pPr>
        <w:numPr>
          <w:ilvl w:val="0"/>
          <w:numId w:val="5"/>
        </w:numPr>
        <w:spacing w:before="100" w:beforeAutospacing="1" w:after="100" w:afterAutospacing="1"/>
        <w:rPr>
          <w:rFonts w:eastAsia="Times New Roman"/>
        </w:rPr>
      </w:pPr>
      <w:hyperlink w:anchor="m_-1474714270548722956__Toc502846074" w:history="1">
        <w:r w:rsidRPr="00573EEE">
          <w:rPr>
            <w:rFonts w:eastAsia="Times New Roman"/>
            <w:color w:val="0000FF"/>
            <w:u w:val="single"/>
          </w:rPr>
          <w:t>Vietnam: The Socialist Party State.</w:t>
        </w:r>
      </w:hyperlink>
    </w:p>
    <w:p w:rsidR="00573EEE" w:rsidRPr="00573EEE" w:rsidRDefault="00573EEE" w:rsidP="00573EEE">
      <w:pPr>
        <w:spacing w:before="100" w:beforeAutospacing="1" w:after="100" w:afterAutospacing="1"/>
        <w:rPr>
          <w:rFonts w:eastAsia="Times New Roman"/>
        </w:rPr>
      </w:pPr>
      <w:hyperlink w:anchor="m_-1474714270548722956__Toc502846075" w:history="1">
        <w:r w:rsidRPr="00573EEE">
          <w:rPr>
            <w:rFonts w:eastAsia="Times New Roman"/>
            <w:color w:val="0000FF"/>
            <w:u w:val="single"/>
          </w:rPr>
          <w:t>Healthcare, Nutrition and Population</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76" w:history="1">
        <w:r w:rsidRPr="00573EEE">
          <w:rPr>
            <w:rFonts w:eastAsia="Times New Roman"/>
            <w:color w:val="0000FF"/>
            <w:u w:val="single"/>
          </w:rPr>
          <w:t xml:space="preserve">Referral patterns, delays, and equity in access to advanced </w:t>
        </w:r>
        <w:proofErr w:type="spellStart"/>
        <w:r w:rsidRPr="00573EEE">
          <w:rPr>
            <w:rFonts w:eastAsia="Times New Roman"/>
            <w:color w:val="0000FF"/>
            <w:u w:val="single"/>
          </w:rPr>
          <w:t>paediatric</w:t>
        </w:r>
        <w:proofErr w:type="spellEnd"/>
        <w:r w:rsidRPr="00573EEE">
          <w:rPr>
            <w:rFonts w:eastAsia="Times New Roman"/>
            <w:color w:val="0000FF"/>
            <w:u w:val="single"/>
          </w:rPr>
          <w:t xml:space="preserve"> emergency care in Vietnam.</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77" w:history="1">
        <w:r w:rsidRPr="00573EEE">
          <w:rPr>
            <w:rFonts w:eastAsia="Times New Roman"/>
            <w:color w:val="0000FF"/>
            <w:u w:val="single"/>
          </w:rPr>
          <w:t>Climate patterns and mosquito-borne disease outbreaks in South and Southeast Asia.</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78" w:history="1">
        <w:r w:rsidRPr="00573EEE">
          <w:rPr>
            <w:rFonts w:eastAsia="Times New Roman"/>
            <w:color w:val="0000FF"/>
            <w:u w:val="single"/>
          </w:rPr>
          <w:t>Support for alcohol policies among drinkers in Mongolia, New Zealand, Peru, South Africa, St Kitts and Nevis, Thailand and Vietnam: Data from the International Alcohol Control Study.</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79" w:history="1">
        <w:r w:rsidRPr="00573EEE">
          <w:rPr>
            <w:rFonts w:eastAsia="Times New Roman"/>
            <w:color w:val="0000FF"/>
            <w:u w:val="single"/>
          </w:rPr>
          <w:t>Reviewing the latest national policies and services for people with severe mental health disorders in government-funded institutions in Vietnam, and policy recommendations for service improvements.</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80" w:history="1">
        <w:r w:rsidRPr="00573EEE">
          <w:rPr>
            <w:rFonts w:eastAsia="Times New Roman"/>
            <w:color w:val="0000FF"/>
            <w:u w:val="single"/>
          </w:rPr>
          <w:t>Unmet needs of child and adolescent psychiatrists among Asian and European countries: does the Human Development Index (HDI) count?</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81" w:history="1">
        <w:r w:rsidRPr="00573EEE">
          <w:rPr>
            <w:rFonts w:eastAsia="Times New Roman"/>
            <w:color w:val="0000FF"/>
            <w:u w:val="single"/>
          </w:rPr>
          <w:t>Situation analysis of procurement and production of multiple micronutrient supplements in 12 lower and upper middle-income countries.</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82" w:history="1">
        <w:r w:rsidRPr="00573EEE">
          <w:rPr>
            <w:rFonts w:eastAsia="Times New Roman"/>
            <w:color w:val="0000FF"/>
            <w:u w:val="single"/>
          </w:rPr>
          <w:t xml:space="preserve">Association </w:t>
        </w:r>
        <w:proofErr w:type="gramStart"/>
        <w:r w:rsidRPr="00573EEE">
          <w:rPr>
            <w:rFonts w:eastAsia="Times New Roman"/>
            <w:color w:val="0000FF"/>
            <w:u w:val="single"/>
          </w:rPr>
          <w:t>Between</w:t>
        </w:r>
        <w:proofErr w:type="gramEnd"/>
        <w:r w:rsidRPr="00573EEE">
          <w:rPr>
            <w:rFonts w:eastAsia="Times New Roman"/>
            <w:color w:val="0000FF"/>
            <w:u w:val="single"/>
          </w:rPr>
          <w:t xml:space="preserve"> a Wider Availability of Health Information and Health Care Utilization in Vietnam: Cross-Sectional Study.</w:t>
        </w:r>
      </w:hyperlink>
    </w:p>
    <w:p w:rsidR="00573EEE" w:rsidRPr="00573EEE" w:rsidRDefault="00573EEE" w:rsidP="00573EEE">
      <w:pPr>
        <w:numPr>
          <w:ilvl w:val="0"/>
          <w:numId w:val="6"/>
        </w:numPr>
        <w:spacing w:before="100" w:beforeAutospacing="1" w:after="100" w:afterAutospacing="1"/>
        <w:rPr>
          <w:rFonts w:eastAsia="Times New Roman"/>
        </w:rPr>
      </w:pPr>
      <w:hyperlink w:anchor="m_-1474714270548722956__Toc502846083" w:history="1">
        <w:r w:rsidRPr="00573EEE">
          <w:rPr>
            <w:rFonts w:eastAsia="Times New Roman"/>
            <w:color w:val="0000FF"/>
            <w:u w:val="single"/>
          </w:rPr>
          <w:t>Premarital sex, contraceptive use among unmarried women migrant workers in industrial parks in Vietnam, 2015.</w:t>
        </w:r>
      </w:hyperlink>
    </w:p>
    <w:p w:rsidR="00573EEE" w:rsidRPr="00573EEE" w:rsidRDefault="00573EEE" w:rsidP="00573EEE">
      <w:pPr>
        <w:spacing w:before="100" w:beforeAutospacing="1" w:after="100" w:afterAutospacing="1"/>
        <w:rPr>
          <w:rFonts w:eastAsia="Times New Roman"/>
        </w:rPr>
      </w:pPr>
      <w:hyperlink w:anchor="m_-1474714270548722956__Toc502846084" w:history="1">
        <w:r w:rsidRPr="00573EEE">
          <w:rPr>
            <w:rFonts w:eastAsia="Times New Roman"/>
            <w:color w:val="0000FF"/>
            <w:u w:val="single"/>
          </w:rPr>
          <w:t>Science and Technology</w:t>
        </w:r>
      </w:hyperlink>
    </w:p>
    <w:p w:rsidR="00573EEE" w:rsidRPr="00573EEE" w:rsidRDefault="00573EEE" w:rsidP="00573EEE">
      <w:pPr>
        <w:numPr>
          <w:ilvl w:val="0"/>
          <w:numId w:val="7"/>
        </w:numPr>
        <w:spacing w:before="100" w:beforeAutospacing="1" w:after="100" w:afterAutospacing="1"/>
        <w:rPr>
          <w:rFonts w:eastAsia="Times New Roman"/>
        </w:rPr>
      </w:pPr>
      <w:hyperlink w:anchor="m_-1474714270548722956__Toc502846085" w:history="1">
        <w:r w:rsidRPr="00573EEE">
          <w:rPr>
            <w:rFonts w:eastAsia="Times New Roman"/>
            <w:color w:val="0000FF"/>
            <w:u w:val="single"/>
          </w:rPr>
          <w:t>The (</w:t>
        </w:r>
        <w:proofErr w:type="spellStart"/>
        <w:r w:rsidRPr="00573EEE">
          <w:rPr>
            <w:rFonts w:eastAsia="Times New Roman"/>
            <w:color w:val="0000FF"/>
            <w:u w:val="single"/>
          </w:rPr>
          <w:t>ir</w:t>
        </w:r>
        <w:proofErr w:type="spellEnd"/>
        <w:proofErr w:type="gramStart"/>
        <w:r w:rsidRPr="00573EEE">
          <w:rPr>
            <w:rFonts w:eastAsia="Times New Roman"/>
            <w:color w:val="0000FF"/>
            <w:u w:val="single"/>
          </w:rPr>
          <w:t>)rational</w:t>
        </w:r>
        <w:proofErr w:type="gramEnd"/>
        <w:r w:rsidRPr="00573EEE">
          <w:rPr>
            <w:rFonts w:eastAsia="Times New Roman"/>
            <w:color w:val="0000FF"/>
            <w:u w:val="single"/>
          </w:rPr>
          <w:t xml:space="preserve"> consideration of the cost of science in transition economies.</w:t>
        </w:r>
      </w:hyperlink>
    </w:p>
    <w:p w:rsidR="00573EEE" w:rsidRPr="00573EEE" w:rsidRDefault="00573EEE" w:rsidP="00573EEE">
      <w:pPr>
        <w:spacing w:before="100" w:beforeAutospacing="1" w:after="100" w:afterAutospacing="1"/>
        <w:rPr>
          <w:rFonts w:eastAsia="Times New Roman"/>
        </w:rPr>
      </w:pPr>
      <w:hyperlink w:anchor="m_-1474714270548722956__Toc502846086" w:history="1">
        <w:r w:rsidRPr="00573EEE">
          <w:rPr>
            <w:rFonts w:eastAsia="Times New Roman"/>
            <w:color w:val="0000FF"/>
            <w:u w:val="single"/>
          </w:rPr>
          <w:t>Energy</w:t>
        </w:r>
      </w:hyperlink>
    </w:p>
    <w:p w:rsidR="00573EEE" w:rsidRPr="00573EEE" w:rsidRDefault="00573EEE" w:rsidP="00573EEE">
      <w:pPr>
        <w:numPr>
          <w:ilvl w:val="0"/>
          <w:numId w:val="8"/>
        </w:numPr>
        <w:spacing w:before="100" w:beforeAutospacing="1" w:after="100" w:afterAutospacing="1"/>
        <w:rPr>
          <w:rFonts w:eastAsia="Times New Roman"/>
        </w:rPr>
      </w:pPr>
      <w:hyperlink w:anchor="m_-1474714270548722956__Toc502846087" w:history="1">
        <w:r w:rsidRPr="00573EEE">
          <w:rPr>
            <w:rFonts w:eastAsia="Times New Roman"/>
            <w:color w:val="0000FF"/>
            <w:u w:val="single"/>
          </w:rPr>
          <w:t>A blue energy option for the Mekong River Basin. An international law analysis on Asian regional cooperation in pioneer osmotic power projects.</w:t>
        </w:r>
      </w:hyperlink>
    </w:p>
    <w:p w:rsidR="00573EEE" w:rsidRPr="00573EEE" w:rsidRDefault="00573EEE" w:rsidP="00573EEE">
      <w:pPr>
        <w:spacing w:before="100" w:beforeAutospacing="1" w:after="100" w:afterAutospacing="1"/>
        <w:rPr>
          <w:rFonts w:eastAsia="Times New Roman"/>
        </w:rPr>
      </w:pPr>
      <w:hyperlink w:anchor="m_-1474714270548722956__Toc502846088" w:history="1">
        <w:r w:rsidRPr="00573EEE">
          <w:rPr>
            <w:rFonts w:eastAsia="Times New Roman"/>
            <w:color w:val="0000FF"/>
            <w:u w:val="single"/>
          </w:rPr>
          <w:t>Labor</w:t>
        </w:r>
      </w:hyperlink>
    </w:p>
    <w:p w:rsidR="00573EEE" w:rsidRPr="00573EEE" w:rsidRDefault="00573EEE" w:rsidP="00573EEE">
      <w:pPr>
        <w:numPr>
          <w:ilvl w:val="0"/>
          <w:numId w:val="9"/>
        </w:numPr>
        <w:spacing w:before="100" w:beforeAutospacing="1" w:after="100" w:afterAutospacing="1"/>
        <w:rPr>
          <w:rFonts w:eastAsia="Times New Roman"/>
        </w:rPr>
      </w:pPr>
      <w:hyperlink w:anchor="m_-1474714270548722956__Toc502846089" w:history="1">
        <w:r w:rsidRPr="00573EEE">
          <w:rPr>
            <w:rFonts w:eastAsia="Times New Roman"/>
            <w:color w:val="0000FF"/>
            <w:u w:val="single"/>
          </w:rPr>
          <w:t xml:space="preserve">Productivity and wage </w:t>
        </w:r>
        <w:proofErr w:type="gramStart"/>
        <w:r w:rsidRPr="00573EEE">
          <w:rPr>
            <w:rFonts w:eastAsia="Times New Roman"/>
            <w:color w:val="0000FF"/>
            <w:u w:val="single"/>
          </w:rPr>
          <w:t>premiums :</w:t>
        </w:r>
        <w:proofErr w:type="gramEnd"/>
        <w:r w:rsidRPr="00573EEE">
          <w:rPr>
            <w:rFonts w:eastAsia="Times New Roman"/>
            <w:color w:val="0000FF"/>
            <w:u w:val="single"/>
          </w:rPr>
          <w:t xml:space="preserve"> evidence from Vietnamese ordinary and processing exporters.</w:t>
        </w:r>
      </w:hyperlink>
    </w:p>
    <w:p w:rsidR="00573EEE" w:rsidRPr="00573EEE" w:rsidRDefault="00573EEE" w:rsidP="00573EEE">
      <w:pPr>
        <w:numPr>
          <w:ilvl w:val="0"/>
          <w:numId w:val="9"/>
        </w:numPr>
        <w:spacing w:before="100" w:beforeAutospacing="1" w:after="100" w:afterAutospacing="1"/>
        <w:rPr>
          <w:rFonts w:eastAsia="Times New Roman"/>
        </w:rPr>
      </w:pPr>
      <w:hyperlink w:anchor="m_-1474714270548722956__Toc502846090" w:history="1">
        <w:r w:rsidRPr="00573EEE">
          <w:rPr>
            <w:rFonts w:eastAsia="Times New Roman"/>
            <w:color w:val="0000FF"/>
            <w:u w:val="single"/>
          </w:rPr>
          <w:t xml:space="preserve">Legal Consciousness and Workers’ Resistance in </w:t>
        </w:r>
        <w:proofErr w:type="spellStart"/>
        <w:r w:rsidRPr="00573EEE">
          <w:rPr>
            <w:rFonts w:eastAsia="Times New Roman"/>
            <w:color w:val="0000FF"/>
            <w:u w:val="single"/>
          </w:rPr>
          <w:t>Đồng</w:t>
        </w:r>
        <w:proofErr w:type="spellEnd"/>
        <w:r w:rsidRPr="00573EEE">
          <w:rPr>
            <w:rFonts w:eastAsia="Times New Roman"/>
            <w:color w:val="0000FF"/>
            <w:u w:val="single"/>
          </w:rPr>
          <w:t xml:space="preserve"> </w:t>
        </w:r>
        <w:proofErr w:type="spellStart"/>
        <w:r w:rsidRPr="00573EEE">
          <w:rPr>
            <w:rFonts w:eastAsia="Times New Roman"/>
            <w:color w:val="0000FF"/>
            <w:u w:val="single"/>
          </w:rPr>
          <w:t>Nai</w:t>
        </w:r>
        <w:proofErr w:type="spellEnd"/>
        <w:r w:rsidRPr="00573EEE">
          <w:rPr>
            <w:rFonts w:eastAsia="Times New Roman"/>
            <w:color w:val="0000FF"/>
            <w:u w:val="single"/>
          </w:rPr>
          <w:t xml:space="preserve"> Province, Vietnam.</w:t>
        </w:r>
      </w:hyperlink>
    </w:p>
    <w:p w:rsidR="00573EEE" w:rsidRPr="00573EEE" w:rsidRDefault="00573EEE" w:rsidP="00573EEE">
      <w:pPr>
        <w:spacing w:before="100" w:beforeAutospacing="1" w:after="100" w:afterAutospacing="1"/>
        <w:rPr>
          <w:rFonts w:eastAsia="Times New Roman"/>
        </w:rPr>
      </w:pPr>
      <w:hyperlink w:anchor="m_-1474714270548722956__Toc502846091" w:history="1">
        <w:r w:rsidRPr="00573EEE">
          <w:rPr>
            <w:rFonts w:eastAsia="Times New Roman"/>
            <w:color w:val="0000FF"/>
            <w:u w:val="single"/>
          </w:rPr>
          <w:t>Social development</w:t>
        </w:r>
      </w:hyperlink>
    </w:p>
    <w:p w:rsidR="00573EEE" w:rsidRPr="00573EEE" w:rsidRDefault="00573EEE" w:rsidP="00573EEE">
      <w:pPr>
        <w:numPr>
          <w:ilvl w:val="0"/>
          <w:numId w:val="10"/>
        </w:numPr>
        <w:spacing w:before="100" w:beforeAutospacing="1" w:after="100" w:afterAutospacing="1"/>
        <w:rPr>
          <w:rFonts w:eastAsia="Times New Roman"/>
        </w:rPr>
      </w:pPr>
      <w:hyperlink w:anchor="m_-1474714270548722956__Toc502846092" w:history="1">
        <w:r w:rsidRPr="00573EEE">
          <w:rPr>
            <w:rFonts w:eastAsia="Times New Roman"/>
            <w:color w:val="0000FF"/>
            <w:u w:val="single"/>
          </w:rPr>
          <w:t>Demographic Changes in Vietnam: Challenges for Old-age Support and Implications for Social Protection Policy.</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r w:rsidRPr="00573EEE">
        <w:rPr>
          <w:rFonts w:ascii="Arial" w:eastAsia="Times New Roman" w:hAnsi="Arial" w:cs="Arial"/>
          <w:b/>
          <w:bCs/>
          <w:color w:val="FF0000"/>
          <w:sz w:val="20"/>
          <w:szCs w:val="20"/>
        </w:rPr>
        <w:t> </w:t>
      </w:r>
      <w:bookmarkStart w:id="1" w:name="_GoBack"/>
      <w:bookmarkEnd w:id="1"/>
    </w:p>
    <w:p w:rsidR="00573EEE" w:rsidRPr="00573EEE" w:rsidRDefault="00573EEE" w:rsidP="00573EEE">
      <w:pPr>
        <w:spacing w:before="100" w:beforeAutospacing="1" w:after="100" w:afterAutospacing="1"/>
        <w:outlineLvl w:val="0"/>
        <w:rPr>
          <w:rFonts w:eastAsia="Times New Roman"/>
          <w:b/>
          <w:bCs/>
          <w:kern w:val="36"/>
          <w:sz w:val="48"/>
          <w:szCs w:val="48"/>
        </w:rPr>
      </w:pPr>
      <w:bookmarkStart w:id="2" w:name="m_-1474714270548722956__Toc502846033"/>
      <w:r w:rsidRPr="00573EEE">
        <w:rPr>
          <w:rFonts w:eastAsia="Times New Roman"/>
          <w:b/>
          <w:bCs/>
          <w:kern w:val="36"/>
          <w:sz w:val="48"/>
          <w:szCs w:val="48"/>
          <w:shd w:val="clear" w:color="auto" w:fill="D3D3D3"/>
        </w:rPr>
        <w:t>Agriculture and Rural development</w:t>
      </w:r>
      <w:bookmarkEnd w:id="2"/>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 w:name="m_-1474714270548722956__Toc502846034"/>
      <w:r w:rsidRPr="00573EEE">
        <w:rPr>
          <w:rFonts w:ascii="Calibri" w:eastAsia="Times New Roman" w:hAnsi="Calibri"/>
          <w:b/>
          <w:bCs/>
          <w:color w:val="800000"/>
          <w:sz w:val="22"/>
          <w:szCs w:val="22"/>
        </w:rPr>
        <w:t>Market implications of the integration scenario of Southeast Asian rice markets.</w:t>
      </w:r>
      <w:bookmarkEnd w:id="3"/>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G. </w:t>
      </w:r>
      <w:proofErr w:type="spellStart"/>
      <w:r w:rsidRPr="00573EEE">
        <w:rPr>
          <w:rFonts w:eastAsia="Times New Roman"/>
        </w:rPr>
        <w:t>Furuhashi</w:t>
      </w:r>
      <w:proofErr w:type="spellEnd"/>
      <w:r w:rsidRPr="00573EEE">
        <w:rPr>
          <w:rFonts w:eastAsia="Times New Roman"/>
        </w:rPr>
        <w:t xml:space="preserve"> and H. Gay. </w:t>
      </w:r>
      <w:proofErr w:type="gramStart"/>
      <w:r w:rsidRPr="00573EEE">
        <w:rPr>
          <w:rFonts w:eastAsia="Times New Roman"/>
        </w:rPr>
        <w:t>OECD Food Agriculture and Fisheries Papers No. 108,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7" w:tgtFrame="_blank" w:history="1">
        <w:r w:rsidRPr="00573EEE">
          <w:rPr>
            <w:rFonts w:eastAsia="Times New Roman"/>
            <w:color w:val="0000FF"/>
            <w:u w:val="single"/>
          </w:rPr>
          <w:t>http://dx.doi.org/10.1787/c81e00c6-en</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paper explores how the integration of rice markets in ASEAN countries influences the import, export, production, consumption, and prices of rice in those countries, as well as in the rest of the world. The analysis describes current policies applied to ASEAN rice markets, </w:t>
      </w:r>
      <w:proofErr w:type="gramStart"/>
      <w:r w:rsidRPr="00573EEE">
        <w:rPr>
          <w:rFonts w:eastAsia="Times New Roman"/>
        </w:rPr>
        <w:t>then</w:t>
      </w:r>
      <w:proofErr w:type="gramEnd"/>
      <w:r w:rsidRPr="00573EEE">
        <w:rPr>
          <w:rFonts w:eastAsia="Times New Roman"/>
        </w:rPr>
        <w:t xml:space="preserve"> evaluates the ten-year impacts of two reform scenarios using the OECD-FAO </w:t>
      </w:r>
      <w:proofErr w:type="spellStart"/>
      <w:r w:rsidRPr="00573EEE">
        <w:rPr>
          <w:rFonts w:eastAsia="Times New Roman"/>
        </w:rPr>
        <w:t>Aglink-Cosimo</w:t>
      </w:r>
      <w:proofErr w:type="spellEnd"/>
      <w:r w:rsidRPr="00573EEE">
        <w:rPr>
          <w:rFonts w:eastAsia="Times New Roman"/>
        </w:rPr>
        <w:t xml:space="preserve"> model. The first scenario involves the elimination of tariffs within the region, while </w:t>
      </w:r>
      <w:proofErr w:type="gramStart"/>
      <w:r w:rsidRPr="00573EEE">
        <w:rPr>
          <w:rFonts w:eastAsia="Times New Roman"/>
        </w:rPr>
        <w:t>protection vis-à-vis countries outside the region remains</w:t>
      </w:r>
      <w:proofErr w:type="gramEnd"/>
      <w:r w:rsidRPr="00573EEE">
        <w:rPr>
          <w:rFonts w:eastAsia="Times New Roman"/>
        </w:rPr>
        <w:t xml:space="preserve"> unchanged. The second scenario involves closer price integration across the region, again with protection versus countries outside the region unchanged. The analysis finds that opening up the regional trade market will lead to greater overall production, consumption and trade across the region. The overall welfare gains are over fifteen times higher with full price integration, as opposed to just tariff reform. </w:t>
      </w:r>
      <w:r w:rsidRPr="00573EEE">
        <w:rPr>
          <w:rFonts w:eastAsia="Times New Roman"/>
        </w:rPr>
        <w:lastRenderedPageBreak/>
        <w:t>Significant price changes create winners and losers within all countries, underscoring the need for complementary policies to accompany a rice market integration agenda.</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 w:name="m_-1474714270548722956__Toc502846035"/>
      <w:proofErr w:type="gramStart"/>
      <w:r w:rsidRPr="00573EEE">
        <w:rPr>
          <w:rFonts w:ascii="Calibri" w:eastAsia="Times New Roman" w:hAnsi="Calibri"/>
          <w:b/>
          <w:bCs/>
          <w:color w:val="800000"/>
          <w:sz w:val="22"/>
          <w:szCs w:val="22"/>
        </w:rPr>
        <w:t>Understanding smallholder farmers’ capacity to respond to climate change in a coastal community in Central Vietnam.</w:t>
      </w:r>
      <w:bookmarkEnd w:id="4"/>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Le </w:t>
      </w:r>
      <w:proofErr w:type="spellStart"/>
      <w:r w:rsidRPr="00573EEE">
        <w:rPr>
          <w:rFonts w:eastAsia="Times New Roman"/>
        </w:rPr>
        <w:t>Thi</w:t>
      </w:r>
      <w:proofErr w:type="spellEnd"/>
      <w:r w:rsidRPr="00573EEE">
        <w:rPr>
          <w:rFonts w:eastAsia="Times New Roman"/>
        </w:rPr>
        <w:t xml:space="preserve"> Hong Phuong, G. </w:t>
      </w:r>
      <w:proofErr w:type="spellStart"/>
      <w:r w:rsidRPr="00573EEE">
        <w:rPr>
          <w:rFonts w:eastAsia="Times New Roman"/>
        </w:rPr>
        <w:t>Robbert</w:t>
      </w:r>
      <w:proofErr w:type="spellEnd"/>
      <w:r w:rsidRPr="00573EEE">
        <w:rPr>
          <w:rFonts w:eastAsia="Times New Roman"/>
        </w:rPr>
        <w:t xml:space="preserve"> </w:t>
      </w:r>
      <w:proofErr w:type="spellStart"/>
      <w:r w:rsidRPr="00573EEE">
        <w:rPr>
          <w:rFonts w:eastAsia="Times New Roman"/>
        </w:rPr>
        <w:t>Biesbroek</w:t>
      </w:r>
      <w:proofErr w:type="spellEnd"/>
      <w:r w:rsidRPr="00573EEE">
        <w:rPr>
          <w:rFonts w:eastAsia="Times New Roman"/>
        </w:rPr>
        <w:t xml:space="preserve">, Le </w:t>
      </w:r>
      <w:proofErr w:type="spellStart"/>
      <w:r w:rsidRPr="00573EEE">
        <w:rPr>
          <w:rFonts w:eastAsia="Times New Roman"/>
        </w:rPr>
        <w:t>Thi</w:t>
      </w:r>
      <w:proofErr w:type="spellEnd"/>
      <w:r w:rsidRPr="00573EEE">
        <w:rPr>
          <w:rFonts w:eastAsia="Times New Roman"/>
        </w:rPr>
        <w:t xml:space="preserve"> </w:t>
      </w:r>
      <w:proofErr w:type="spellStart"/>
      <w:r w:rsidRPr="00573EEE">
        <w:rPr>
          <w:rFonts w:eastAsia="Times New Roman"/>
        </w:rPr>
        <w:t>Hoa</w:t>
      </w:r>
      <w:proofErr w:type="spellEnd"/>
      <w:r w:rsidRPr="00573EEE">
        <w:rPr>
          <w:rFonts w:eastAsia="Times New Roman"/>
        </w:rPr>
        <w:t xml:space="preserve"> Sen and Arjen E. J. </w:t>
      </w:r>
      <w:proofErr w:type="spellStart"/>
      <w:r w:rsidRPr="00573EEE">
        <w:rPr>
          <w:rFonts w:eastAsia="Times New Roman"/>
        </w:rPr>
        <w:t>Wals</w:t>
      </w:r>
      <w:proofErr w:type="spellEnd"/>
      <w:r w:rsidRPr="00573EEE">
        <w:rPr>
          <w:rFonts w:eastAsia="Times New Roman"/>
        </w:rPr>
        <w:t>.</w:t>
      </w:r>
      <w:proofErr w:type="gramEnd"/>
      <w:r w:rsidRPr="00573EEE">
        <w:rPr>
          <w:rFonts w:eastAsia="Times New Roman"/>
        </w:rPr>
        <w:t xml:space="preserve"> Climate and Development, 2017, pp. 1-16.</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8" w:tgtFrame="_blank" w:history="1">
        <w:r w:rsidRPr="00573EEE">
          <w:rPr>
            <w:rFonts w:eastAsia="Times New Roman"/>
            <w:color w:val="0000FF"/>
            <w:u w:val="single"/>
          </w:rPr>
          <w:t>https://doi.org/10.1080/17565529.2017.1411240</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Climate change as expressed by erratic rainfall, increased flooding, extended droughts, frequency tropical cyclones or saline water intrusion, poses severe threats to smallholder farmers in Vietnam. Adaptation of the agricultural sector is vital to increase the resilience of smallholder farmers? </w:t>
      </w:r>
      <w:proofErr w:type="gramStart"/>
      <w:r w:rsidRPr="00573EEE">
        <w:rPr>
          <w:rFonts w:eastAsia="Times New Roman"/>
        </w:rPr>
        <w:t>livelihoods</w:t>
      </w:r>
      <w:proofErr w:type="gramEnd"/>
      <w:r w:rsidRPr="00573EEE">
        <w:rPr>
          <w:rFonts w:eastAsia="Times New Roman"/>
        </w:rPr>
        <w:t xml:space="preserve"> in times of climate change. To complement efforts already implemented by farmers to reduce social vulnerability it is important to understand how farmers perceive their current and future capacity to adapt to climate change. This paper aims to explore smallholder farmers? </w:t>
      </w:r>
      <w:proofErr w:type="gramStart"/>
      <w:r w:rsidRPr="00573EEE">
        <w:rPr>
          <w:rFonts w:eastAsia="Times New Roman"/>
        </w:rPr>
        <w:t>capacity</w:t>
      </w:r>
      <w:proofErr w:type="gramEnd"/>
      <w:r w:rsidRPr="00573EEE">
        <w:rPr>
          <w:rFonts w:eastAsia="Times New Roman"/>
        </w:rPr>
        <w:t xml:space="preserve"> to respond to climate change in current and future agricultural production. We carried out open, in-depth interviews (n</w:t>
      </w:r>
      <w:proofErr w:type="gramStart"/>
      <w:r w:rsidRPr="00573EEE">
        <w:rPr>
          <w:rFonts w:eastAsia="Times New Roman"/>
        </w:rPr>
        <w:t>?=</w:t>
      </w:r>
      <w:proofErr w:type="gramEnd"/>
      <w:r w:rsidRPr="00573EEE">
        <w:rPr>
          <w:rFonts w:eastAsia="Times New Roman"/>
        </w:rPr>
        <w:t xml:space="preserve">?13), focus group discussions, and structured interviews (n?=?114) in the </w:t>
      </w:r>
      <w:proofErr w:type="spellStart"/>
      <w:r w:rsidRPr="00573EEE">
        <w:rPr>
          <w:rFonts w:eastAsia="Times New Roman"/>
        </w:rPr>
        <w:t>Thua</w:t>
      </w:r>
      <w:proofErr w:type="spellEnd"/>
      <w:r w:rsidRPr="00573EEE">
        <w:rPr>
          <w:rFonts w:eastAsia="Times New Roman"/>
        </w:rPr>
        <w:t xml:space="preserve"> </w:t>
      </w:r>
      <w:proofErr w:type="spellStart"/>
      <w:r w:rsidRPr="00573EEE">
        <w:rPr>
          <w:rFonts w:eastAsia="Times New Roman"/>
        </w:rPr>
        <w:t>Thien</w:t>
      </w:r>
      <w:proofErr w:type="spellEnd"/>
      <w:r w:rsidRPr="00573EEE">
        <w:rPr>
          <w:rFonts w:eastAsia="Times New Roman"/>
        </w:rPr>
        <w:t xml:space="preserve"> Hue province. Our findings show that farmers nowadays experience more extreme climate variability. Farmers report increasing stresses due to temperature increase and droughts. The autonomous adaptation strategies adopted by farmers include; adjusting the season calendar, using tolerant varieties and breeds, applying integrated crop production models, and income diversification. The motives for adopting particular planned adaptation options differ between farmers in crop production and livestock production. Four factors were found to be significant (p</w:t>
      </w:r>
      <w:proofErr w:type="gramStart"/>
      <w:r w:rsidRPr="00573EEE">
        <w:rPr>
          <w:rFonts w:eastAsia="Times New Roman"/>
        </w:rPr>
        <w:t>?&lt;</w:t>
      </w:r>
      <w:proofErr w:type="gramEnd"/>
      <w:r w:rsidRPr="00573EEE">
        <w:rPr>
          <w:rFonts w:eastAsia="Times New Roman"/>
        </w:rPr>
        <w:t xml:space="preserve">?.05) </w:t>
      </w:r>
      <w:proofErr w:type="gramStart"/>
      <w:r w:rsidRPr="00573EEE">
        <w:rPr>
          <w:rFonts w:eastAsia="Times New Roman"/>
        </w:rPr>
        <w:t>in</w:t>
      </w:r>
      <w:proofErr w:type="gramEnd"/>
      <w:r w:rsidRPr="00573EEE">
        <w:rPr>
          <w:rFonts w:eastAsia="Times New Roman"/>
        </w:rPr>
        <w:t xml:space="preserve"> influencing the spread of adaptation measures (AMs) farmers adopted: farm income, the number of available information sources, number of workers on the farm, and farmable land available during the summer season. Farmers report several barriers to implement adaptation strategies including; market price fluctuations, lack of skilled </w:t>
      </w:r>
      <w:proofErr w:type="spellStart"/>
      <w:r w:rsidRPr="00573EEE">
        <w:rPr>
          <w:rFonts w:eastAsia="Times New Roman"/>
        </w:rPr>
        <w:t>labour</w:t>
      </w:r>
      <w:proofErr w:type="spellEnd"/>
      <w:r w:rsidRPr="00573EEE">
        <w:rPr>
          <w:rFonts w:eastAsia="Times New Roman"/>
        </w:rPr>
        <w:t xml:space="preserve">, lack of climate change information, and lack of capacity to learn and apply techniques in their daily practice. While both crop and livestock farmers participated in one or several training courses on climate change in the past years, livestock farmers were still uncertain about their future capacity and possible AMs. </w:t>
      </w:r>
      <w:proofErr w:type="gramStart"/>
      <w:r w:rsidRPr="00573EEE">
        <w:rPr>
          <w:rFonts w:eastAsia="Times New Roman"/>
        </w:rPr>
        <w:t>[Phuong-etal-2017.pdf].</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0D58FA" w:rsidRDefault="00573EEE" w:rsidP="00573EEE">
      <w:pPr>
        <w:spacing w:before="100" w:beforeAutospacing="1" w:after="100" w:afterAutospacing="1"/>
        <w:rPr>
          <w:rFonts w:eastAsia="Times New Roman"/>
          <w:color w:val="0000FF"/>
          <w:u w:val="single"/>
        </w:rPr>
      </w:pPr>
    </w:p>
    <w:p w:rsidR="00573EEE" w:rsidRPr="00573EEE" w:rsidRDefault="00573EEE" w:rsidP="00573EEE">
      <w:pPr>
        <w:outlineLvl w:val="1"/>
        <w:rPr>
          <w:rFonts w:eastAsia="Times New Roman"/>
          <w:b/>
          <w:bCs/>
          <w:sz w:val="36"/>
          <w:szCs w:val="36"/>
        </w:rPr>
      </w:pPr>
      <w:bookmarkStart w:id="5" w:name="m_-1474714270548722956__Toc502846036"/>
      <w:proofErr w:type="gramStart"/>
      <w:r w:rsidRPr="00573EEE">
        <w:rPr>
          <w:rFonts w:ascii="Calibri" w:eastAsia="Times New Roman" w:hAnsi="Calibri"/>
          <w:b/>
          <w:bCs/>
          <w:color w:val="800000"/>
          <w:sz w:val="22"/>
          <w:szCs w:val="22"/>
        </w:rPr>
        <w:t>The water-land-food nexus of natural rubber production.</w:t>
      </w:r>
      <w:bookmarkEnd w:id="5"/>
      <w:proofErr w:type="gramEnd"/>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lastRenderedPageBreak/>
        <w:t>Davide</w:t>
      </w:r>
      <w:proofErr w:type="spellEnd"/>
      <w:r w:rsidRPr="00573EEE">
        <w:rPr>
          <w:rFonts w:eastAsia="Times New Roman"/>
        </w:rPr>
        <w:t xml:space="preserve"> Danilo Chiarelli, Lorenzo Rosa, Maria Cristina </w:t>
      </w:r>
      <w:proofErr w:type="spellStart"/>
      <w:r w:rsidRPr="00573EEE">
        <w:rPr>
          <w:rFonts w:eastAsia="Times New Roman"/>
        </w:rPr>
        <w:t>Rulli</w:t>
      </w:r>
      <w:proofErr w:type="spellEnd"/>
      <w:r w:rsidRPr="00573EEE">
        <w:rPr>
          <w:rFonts w:eastAsia="Times New Roman"/>
        </w:rPr>
        <w:t xml:space="preserve"> and Paolo </w:t>
      </w:r>
      <w:proofErr w:type="spellStart"/>
      <w:r w:rsidRPr="00573EEE">
        <w:rPr>
          <w:rFonts w:eastAsia="Times New Roman"/>
        </w:rPr>
        <w:t>D'Odorico</w:t>
      </w:r>
      <w:proofErr w:type="spellEnd"/>
      <w:r w:rsidRPr="00573EEE">
        <w:rPr>
          <w:rFonts w:eastAsia="Times New Roman"/>
        </w:rPr>
        <w:t>.</w:t>
      </w:r>
      <w:proofErr w:type="gramEnd"/>
      <w:r w:rsidRPr="00573EEE">
        <w:rPr>
          <w:rFonts w:eastAsia="Times New Roman"/>
        </w:rPr>
        <w:t xml:space="preserve"> </w:t>
      </w:r>
      <w:proofErr w:type="gramStart"/>
      <w:r w:rsidRPr="00573EEE">
        <w:rPr>
          <w:rFonts w:eastAsia="Times New Roman"/>
        </w:rPr>
        <w:t>Journal of Cleaner Production, 2017, volume 172.</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increasing global demand for natural rubber (100% </w:t>
      </w:r>
      <w:proofErr w:type="gramStart"/>
      <w:r w:rsidRPr="00573EEE">
        <w:rPr>
          <w:rFonts w:eastAsia="Times New Roman"/>
        </w:rPr>
        <w:t>increase</w:t>
      </w:r>
      <w:proofErr w:type="gramEnd"/>
      <w:r w:rsidRPr="00573EEE">
        <w:rPr>
          <w:rFonts w:eastAsia="Times New Roman"/>
        </w:rPr>
        <w:t xml:space="preserve"> in the last 15 years) is for most part met by Malaysia and Indonesia, and – to a lesser extent – other countries in South-East Asia and Africa. The consequent expansion of rubber plantation has often occurred at the expenses of agricultural land for staple crops, particularly in South-East Asia, where 90% of the land suitable for agriculture is already under cultivation. Here we investigate the extent to which the ongoing increase in rubber production is competing with the food system and affecting the livelihoods of rural communities living in the production areas and their appropriation of natural resources, such as water. We also investigate to what extent the expansion of rubber plantations is taking place through large scale land acquisitions (LSLAs) and evaluate the impacts on rural communities. Our results show how rubber production needs more than 10 million ha of fertile land and up to 136–149 × 10 9 m 3 y −1 of freshwater (125 × 10 9 m 3 y −1 of green water and 11–24 × 10 9 m 3 y −1 of blue water). These resources would be sufficient to produce enough food to significantly reduce malnourishment in Indonesia, Thailand, and Vietnam if replaced by rice production. Overall, natural rubber production has important environmental, social, and economic impacts. Indeed, despite their ability to bring employment and increase the average income of economically disadvantaged areas, rubber plantations may threaten the local water and food security and induce a loss of rural livelihoods – particularly when the new plantations result from LSLAs that displace semi-subsistence forms of production – thereby forcing the local populations to depend on global food markets.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6" w:name="m_-1474714270548722956__Toc502846037"/>
      <w:r w:rsidRPr="00573EEE">
        <w:rPr>
          <w:rFonts w:ascii="Calibri" w:eastAsia="Times New Roman" w:hAnsi="Calibri"/>
          <w:b/>
          <w:bCs/>
          <w:color w:val="800000"/>
          <w:sz w:val="22"/>
          <w:szCs w:val="22"/>
        </w:rPr>
        <w:t xml:space="preserve">Assessment of household risk management strategies for coastal aquaculture: the case of clam farming in </w:t>
      </w:r>
      <w:proofErr w:type="spellStart"/>
      <w:r w:rsidRPr="00573EEE">
        <w:rPr>
          <w:rFonts w:ascii="Calibri" w:eastAsia="Times New Roman" w:hAnsi="Calibri"/>
          <w:b/>
          <w:bCs/>
          <w:color w:val="800000"/>
          <w:sz w:val="22"/>
          <w:szCs w:val="22"/>
        </w:rPr>
        <w:t>Thaibinh</w:t>
      </w:r>
      <w:proofErr w:type="spellEnd"/>
      <w:r w:rsidRPr="00573EEE">
        <w:rPr>
          <w:rFonts w:ascii="Calibri" w:eastAsia="Times New Roman" w:hAnsi="Calibri"/>
          <w:b/>
          <w:bCs/>
          <w:color w:val="800000"/>
          <w:sz w:val="22"/>
          <w:szCs w:val="22"/>
        </w:rPr>
        <w:t xml:space="preserve"> Province, Vietnam.</w:t>
      </w:r>
      <w:bookmarkEnd w:id="6"/>
    </w:p>
    <w:p w:rsidR="00573EEE" w:rsidRPr="00573EEE" w:rsidRDefault="00573EEE" w:rsidP="00573EEE">
      <w:pPr>
        <w:spacing w:before="100" w:beforeAutospacing="1" w:after="100" w:afterAutospacing="1"/>
        <w:rPr>
          <w:rFonts w:eastAsia="Times New Roman"/>
        </w:rPr>
      </w:pPr>
      <w:proofErr w:type="spellStart"/>
      <w:r w:rsidRPr="00573EEE">
        <w:rPr>
          <w:rFonts w:eastAsia="Times New Roman"/>
        </w:rPr>
        <w:t>Thi</w:t>
      </w:r>
      <w:proofErr w:type="spellEnd"/>
      <w:r w:rsidRPr="00573EEE">
        <w:rPr>
          <w:rFonts w:eastAsia="Times New Roman"/>
        </w:rPr>
        <w:t xml:space="preserve"> Thu Hang Ngo, Hossein </w:t>
      </w:r>
      <w:proofErr w:type="spellStart"/>
      <w:r w:rsidRPr="00573EEE">
        <w:rPr>
          <w:rFonts w:eastAsia="Times New Roman"/>
        </w:rPr>
        <w:t>Azadi</w:t>
      </w:r>
      <w:proofErr w:type="spellEnd"/>
      <w:r w:rsidRPr="00573EEE">
        <w:rPr>
          <w:rFonts w:eastAsia="Times New Roman"/>
        </w:rPr>
        <w:t xml:space="preserve">, </w:t>
      </w:r>
      <w:proofErr w:type="spellStart"/>
      <w:r w:rsidRPr="00573EEE">
        <w:rPr>
          <w:rFonts w:eastAsia="Times New Roman"/>
        </w:rPr>
        <w:t>Huu</w:t>
      </w:r>
      <w:proofErr w:type="spellEnd"/>
      <w:r w:rsidRPr="00573EEE">
        <w:rPr>
          <w:rFonts w:eastAsia="Times New Roman"/>
        </w:rPr>
        <w:t xml:space="preserve"> </w:t>
      </w:r>
      <w:proofErr w:type="spellStart"/>
      <w:r w:rsidRPr="00573EEE">
        <w:rPr>
          <w:rFonts w:eastAsia="Times New Roman"/>
        </w:rPr>
        <w:t>Cuong</w:t>
      </w:r>
      <w:proofErr w:type="spellEnd"/>
      <w:r w:rsidRPr="00573EEE">
        <w:rPr>
          <w:rFonts w:eastAsia="Times New Roman"/>
        </w:rPr>
        <w:t xml:space="preserve"> Tran and Philippe </w:t>
      </w:r>
      <w:proofErr w:type="spellStart"/>
      <w:r w:rsidRPr="00573EEE">
        <w:rPr>
          <w:rFonts w:eastAsia="Times New Roman"/>
        </w:rPr>
        <w:t>Lebailly</w:t>
      </w:r>
      <w:proofErr w:type="spellEnd"/>
      <w:r w:rsidRPr="00573EEE">
        <w:rPr>
          <w:rFonts w:eastAsia="Times New Roman"/>
        </w:rPr>
        <w:t xml:space="preserve">. </w:t>
      </w:r>
      <w:proofErr w:type="gramStart"/>
      <w:r w:rsidRPr="00573EEE">
        <w:rPr>
          <w:rFonts w:eastAsia="Times New Roman"/>
        </w:rPr>
        <w:t>Aquaculture International,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Clam farmers have experienced different types of risks that have been further exacerbated by the rapid expansion of clam farming areas, increased growing densities, and increased market difficulties in recent years in the </w:t>
      </w:r>
      <w:proofErr w:type="spellStart"/>
      <w:r w:rsidRPr="00573EEE">
        <w:rPr>
          <w:rFonts w:eastAsia="Times New Roman"/>
        </w:rPr>
        <w:t>Thaibinh</w:t>
      </w:r>
      <w:proofErr w:type="spellEnd"/>
      <w:r w:rsidRPr="00573EEE">
        <w:rPr>
          <w:rFonts w:eastAsia="Times New Roman"/>
        </w:rPr>
        <w:t xml:space="preserve"> Province of Vietnam. Most farmers have been seriously affected by production risk, market risk, and financial risk, while a number of others have met with success in almost all of their clam-raising cycles. This study applied a differentiating comparative analysis method and multiple discriminant analysis method to discuss the differences in risk management strategies between and among clam farming households and the impacts of those differences on their success/failure rates. In general, the tactics are related to increase in farm size, the application of technical innovations, diversifying livelihood activities, and accessing secure financial sources all provided better conditions for clam growth, diminished losses, and led to speedier recovery from shocks. To support farmers in </w:t>
      </w:r>
      <w:r w:rsidRPr="00573EEE">
        <w:rPr>
          <w:rFonts w:eastAsia="Times New Roman"/>
        </w:rPr>
        <w:lastRenderedPageBreak/>
        <w:t>managing risks, several government interventions are needed: (1) better re-zoning of clam farming areas in parallel with an increase in the farm size of each household, (2) promoting sustainable linkages between the farmers and the formal financial market and output market, and (3) investing more funding into research and extension related to sustainable clam farming practices and to the improvement of farmers’ skills in cooperative works and management.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w:t>
        </w:r>
        <w:r w:rsidRPr="000D58FA">
          <w:rPr>
            <w:rStyle w:val="Hyperlink"/>
            <w:rFonts w:eastAsia="Times New Roman"/>
          </w:rPr>
          <w:t>o</w:t>
        </w:r>
        <w:r w:rsidRPr="000D58FA">
          <w:rPr>
            <w:rStyle w:val="Hyperlink"/>
            <w:rFonts w:eastAsia="Times New Roman"/>
          </w:rPr>
          <w:t xml:space="preserve">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7" w:name="m_-1474714270548722956__Toc502846038"/>
      <w:r w:rsidRPr="00573EEE">
        <w:rPr>
          <w:rFonts w:ascii="Calibri" w:eastAsia="Times New Roman" w:hAnsi="Calibri"/>
          <w:b/>
          <w:bCs/>
          <w:color w:val="800000"/>
          <w:sz w:val="22"/>
          <w:szCs w:val="22"/>
        </w:rPr>
        <w:t>Agroforestry: Contribution to food security and climate-change adaptation and mitigation in Southeast Asia: WHITE PAPER.</w:t>
      </w:r>
      <w:bookmarkEnd w:id="7"/>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Delia C. </w:t>
      </w:r>
      <w:proofErr w:type="spellStart"/>
      <w:r w:rsidRPr="00573EEE">
        <w:rPr>
          <w:rFonts w:eastAsia="Times New Roman"/>
        </w:rPr>
        <w:t>Catacutan</w:t>
      </w:r>
      <w:proofErr w:type="spellEnd"/>
      <w:r w:rsidRPr="00573EEE">
        <w:rPr>
          <w:rFonts w:eastAsia="Times New Roman"/>
        </w:rPr>
        <w:t xml:space="preserve">, </w:t>
      </w:r>
      <w:proofErr w:type="spellStart"/>
      <w:r w:rsidRPr="00573EEE">
        <w:rPr>
          <w:rFonts w:eastAsia="Times New Roman"/>
        </w:rPr>
        <w:t>Meine</w:t>
      </w:r>
      <w:proofErr w:type="spellEnd"/>
      <w:r w:rsidRPr="00573EEE">
        <w:rPr>
          <w:rFonts w:eastAsia="Times New Roman"/>
        </w:rPr>
        <w:t xml:space="preserve"> van </w:t>
      </w:r>
      <w:proofErr w:type="spellStart"/>
      <w:r w:rsidRPr="00573EEE">
        <w:rPr>
          <w:rFonts w:eastAsia="Times New Roman"/>
        </w:rPr>
        <w:t>Noordwijk</w:t>
      </w:r>
      <w:proofErr w:type="spellEnd"/>
      <w:r w:rsidRPr="00573EEE">
        <w:rPr>
          <w:rFonts w:eastAsia="Times New Roman"/>
        </w:rPr>
        <w:t xml:space="preserve">, Nguyen Tien Hai, Ingrid </w:t>
      </w:r>
      <w:proofErr w:type="spellStart"/>
      <w:r w:rsidRPr="00573EEE">
        <w:rPr>
          <w:rFonts w:eastAsia="Times New Roman"/>
        </w:rPr>
        <w:t>Öborn</w:t>
      </w:r>
      <w:proofErr w:type="spellEnd"/>
      <w:r w:rsidRPr="00573EEE">
        <w:rPr>
          <w:rFonts w:eastAsia="Times New Roman"/>
        </w:rPr>
        <w:t xml:space="preserve"> and Agustin R. Mercado.</w:t>
      </w:r>
      <w:proofErr w:type="gramEnd"/>
      <w:r w:rsidRPr="00573EEE">
        <w:rPr>
          <w:rFonts w:eastAsia="Times New Roman"/>
        </w:rPr>
        <w:t xml:space="preserve"> World Agroforestry Centre Southeast Asia Regional Program in collaboration with the ASEAN Working Group on Social Forestry, 2017.</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9" w:tgtFrame="_blank" w:history="1">
        <w:r w:rsidRPr="00573EEE">
          <w:rPr>
            <w:rFonts w:eastAsia="Times New Roman"/>
            <w:color w:val="0000FF"/>
            <w:u w:val="single"/>
          </w:rPr>
          <w:t>http://www.worldagroforestry.org/region/sea/publications/download?dl=/BK00201-17.pdf&amp;pubID=4231&amp;li=7520</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Agroforestry, the practice of using trees on farms, and the integration of forestry and agriculture as part of multifunctional landscapes, can provide multiple economic, social and environmental </w:t>
      </w:r>
      <w:proofErr w:type="gramStart"/>
      <w:r w:rsidRPr="00573EEE">
        <w:rPr>
          <w:rFonts w:eastAsia="Times New Roman"/>
        </w:rPr>
        <w:t>benefits(</w:t>
      </w:r>
      <w:proofErr w:type="gramEnd"/>
      <w:r w:rsidRPr="00573EEE">
        <w:rPr>
          <w:rFonts w:eastAsia="Times New Roman"/>
        </w:rPr>
        <w:t xml:space="preserve">46). In a global comparison, Southeast Asia had the highest biomass carbon stock (per hectare) on agricultural land of all regions, with an increasing trend (60 </w:t>
      </w:r>
      <w:proofErr w:type="spellStart"/>
      <w:r w:rsidRPr="00573EEE">
        <w:rPr>
          <w:rFonts w:eastAsia="Times New Roman"/>
        </w:rPr>
        <w:t>tonnes</w:t>
      </w:r>
      <w:proofErr w:type="spellEnd"/>
      <w:r w:rsidRPr="00573EEE">
        <w:rPr>
          <w:rFonts w:eastAsia="Times New Roman"/>
        </w:rPr>
        <w:t xml:space="preserve"> of carbon per hectare in 2000 and 65 </w:t>
      </w:r>
      <w:proofErr w:type="spellStart"/>
      <w:r w:rsidRPr="00573EEE">
        <w:rPr>
          <w:rFonts w:eastAsia="Times New Roman"/>
        </w:rPr>
        <w:t>tonnes</w:t>
      </w:r>
      <w:proofErr w:type="spellEnd"/>
      <w:r w:rsidRPr="00573EEE">
        <w:rPr>
          <w:rFonts w:eastAsia="Times New Roman"/>
        </w:rPr>
        <w:t xml:space="preserve"> per hectare in 2010(116)). ---</w:t>
      </w:r>
      <w:proofErr w:type="gramStart"/>
      <w:r w:rsidRPr="00573EEE">
        <w:rPr>
          <w:rFonts w:eastAsia="Times New Roman"/>
        </w:rPr>
        <w:t>  Farmers</w:t>
      </w:r>
      <w:proofErr w:type="gramEnd"/>
      <w:r w:rsidRPr="00573EEE">
        <w:rPr>
          <w:rFonts w:eastAsia="Times New Roman"/>
        </w:rPr>
        <w:t xml:space="preserve"> in different parts of the region have been adopting diverse agroforestry systems and practices, increasing the productivity of farmlands, and helping to secure food, income and other basic needs. At the same time, the significant amount of carbon sequestered by trees in agroforestry systems is contributing to climate-change mitigation, while forests and trees are ‘air conditioners’ cooling their surroundings by bringing water back into the atmosphere(13). Yet, wide-scale agroforestry adoption remains limited due to many obstacles and challenges, notably, the lack of institutional home and specific policy support for agroforestry. ---</w:t>
      </w:r>
      <w:proofErr w:type="gramStart"/>
      <w:r w:rsidRPr="00573EEE">
        <w:rPr>
          <w:rFonts w:eastAsia="Times New Roman"/>
        </w:rPr>
        <w:t>  To</w:t>
      </w:r>
      <w:proofErr w:type="gramEnd"/>
      <w:r w:rsidRPr="00573EEE">
        <w:rPr>
          <w:rFonts w:eastAsia="Times New Roman"/>
        </w:rPr>
        <w:t xml:space="preserve"> realize the potential of agroforestry in achieving food security and climate-change adaptation and mitigation in Southeast Asia, specific agroforestry policies and effective delivery mechanisms are necessary.</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8" w:name="m_-1474714270548722956__Toc502846039"/>
      <w:proofErr w:type="gramStart"/>
      <w:r w:rsidRPr="00573EEE">
        <w:rPr>
          <w:rFonts w:ascii="Calibri" w:eastAsia="Times New Roman" w:hAnsi="Calibri"/>
          <w:b/>
          <w:bCs/>
          <w:color w:val="800000"/>
          <w:sz w:val="22"/>
          <w:szCs w:val="22"/>
        </w:rPr>
        <w:t xml:space="preserve">The role of State Forest Enterprises in the payments for Forest Environmental Services </w:t>
      </w:r>
      <w:proofErr w:type="spellStart"/>
      <w:r w:rsidRPr="00573EEE">
        <w:rPr>
          <w:rFonts w:ascii="Calibri" w:eastAsia="Times New Roman" w:hAnsi="Calibri"/>
          <w:b/>
          <w:bCs/>
          <w:color w:val="800000"/>
          <w:sz w:val="22"/>
          <w:szCs w:val="22"/>
        </w:rPr>
        <w:t>Programme</w:t>
      </w:r>
      <w:proofErr w:type="spellEnd"/>
      <w:r w:rsidRPr="00573EEE">
        <w:rPr>
          <w:rFonts w:ascii="Calibri" w:eastAsia="Times New Roman" w:hAnsi="Calibri"/>
          <w:b/>
          <w:bCs/>
          <w:color w:val="800000"/>
          <w:sz w:val="22"/>
          <w:szCs w:val="22"/>
        </w:rPr>
        <w:t xml:space="preserve"> in Vietnam.</w:t>
      </w:r>
      <w:bookmarkEnd w:id="8"/>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xml:space="preserve">Florence Milan, Tran </w:t>
      </w:r>
      <w:proofErr w:type="spellStart"/>
      <w:r w:rsidRPr="00573EEE">
        <w:rPr>
          <w:rFonts w:eastAsia="Times New Roman"/>
        </w:rPr>
        <w:t>Thi</w:t>
      </w:r>
      <w:proofErr w:type="spellEnd"/>
      <w:r w:rsidRPr="00573EEE">
        <w:rPr>
          <w:rFonts w:eastAsia="Times New Roman"/>
        </w:rPr>
        <w:t xml:space="preserve"> Thu Huong, Chu Thai Hoanh, Diana </w:t>
      </w:r>
      <w:proofErr w:type="spellStart"/>
      <w:r w:rsidRPr="00573EEE">
        <w:rPr>
          <w:rFonts w:eastAsia="Times New Roman"/>
        </w:rPr>
        <w:t>Suhardiman</w:t>
      </w:r>
      <w:proofErr w:type="spellEnd"/>
      <w:r w:rsidRPr="00573EEE">
        <w:rPr>
          <w:rFonts w:eastAsia="Times New Roman"/>
        </w:rPr>
        <w:t xml:space="preserve">, Nguyen </w:t>
      </w:r>
      <w:proofErr w:type="spellStart"/>
      <w:r w:rsidRPr="00573EEE">
        <w:rPr>
          <w:rFonts w:eastAsia="Times New Roman"/>
        </w:rPr>
        <w:t>Duy</w:t>
      </w:r>
      <w:proofErr w:type="spellEnd"/>
      <w:r w:rsidRPr="00573EEE">
        <w:rPr>
          <w:rFonts w:eastAsia="Times New Roman"/>
        </w:rPr>
        <w:t xml:space="preserve"> Phuong and others. Journal of Agriculture and Rural Development in the Tropics and Subtropics, 2017, volume 118, number 2.</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0" w:tgtFrame="_blank" w:history="1">
        <w:r w:rsidRPr="00573EEE">
          <w:rPr>
            <w:rFonts w:eastAsia="Times New Roman"/>
            <w:color w:val="0000FF"/>
            <w:u w:val="single"/>
          </w:rPr>
          <w:t>https://www.uni-cms.de/index.php/jarts/article/download/2017110153667/925</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To promote pro-poor payments for environmental services, it is necessary to identify institutional options that reduce transaction costs and </w:t>
      </w:r>
      <w:proofErr w:type="spellStart"/>
      <w:r w:rsidRPr="00573EEE">
        <w:rPr>
          <w:rFonts w:eastAsia="Times New Roman"/>
        </w:rPr>
        <w:t>organisational</w:t>
      </w:r>
      <w:proofErr w:type="spellEnd"/>
      <w:r w:rsidRPr="00573EEE">
        <w:rPr>
          <w:rFonts w:eastAsia="Times New Roman"/>
        </w:rPr>
        <w:t xml:space="preserve"> problems associated with establishing and maintaining contracts with small-scale environmental service providers. This study examined the dual functionality of state forest enterprises (SFEs) in the implementation of the Payments for Forest Environmental Services (PFES) Program in Vietnam. We considered whether SFEs’ involvement in the </w:t>
      </w:r>
      <w:proofErr w:type="spellStart"/>
      <w:r w:rsidRPr="00573EEE">
        <w:rPr>
          <w:rFonts w:eastAsia="Times New Roman"/>
        </w:rPr>
        <w:t>programme</w:t>
      </w:r>
      <w:proofErr w:type="spellEnd"/>
      <w:r w:rsidRPr="00573EEE">
        <w:rPr>
          <w:rFonts w:eastAsia="Times New Roman"/>
        </w:rPr>
        <w:t xml:space="preserve"> could reduce transaction costs and </w:t>
      </w:r>
      <w:proofErr w:type="spellStart"/>
      <w:r w:rsidRPr="00573EEE">
        <w:rPr>
          <w:rFonts w:eastAsia="Times New Roman"/>
        </w:rPr>
        <w:t>organisational</w:t>
      </w:r>
      <w:proofErr w:type="spellEnd"/>
      <w:r w:rsidRPr="00573EEE">
        <w:rPr>
          <w:rFonts w:eastAsia="Times New Roman"/>
        </w:rPr>
        <w:t xml:space="preserve"> problems. Data were collected from </w:t>
      </w:r>
      <w:proofErr w:type="spellStart"/>
      <w:r w:rsidRPr="00573EEE">
        <w:rPr>
          <w:rFonts w:eastAsia="Times New Roman"/>
        </w:rPr>
        <w:t>Tu</w:t>
      </w:r>
      <w:proofErr w:type="spellEnd"/>
      <w:r w:rsidRPr="00573EEE">
        <w:rPr>
          <w:rFonts w:eastAsia="Times New Roman"/>
        </w:rPr>
        <w:t xml:space="preserve"> Ly SFE in </w:t>
      </w:r>
      <w:proofErr w:type="spellStart"/>
      <w:r w:rsidRPr="00573EEE">
        <w:rPr>
          <w:rFonts w:eastAsia="Times New Roman"/>
        </w:rPr>
        <w:t>Hoa</w:t>
      </w:r>
      <w:proofErr w:type="spellEnd"/>
      <w:r w:rsidRPr="00573EEE">
        <w:rPr>
          <w:rFonts w:eastAsia="Times New Roman"/>
        </w:rPr>
        <w:t xml:space="preserve"> </w:t>
      </w:r>
      <w:proofErr w:type="spellStart"/>
      <w:r w:rsidRPr="00573EEE">
        <w:rPr>
          <w:rFonts w:eastAsia="Times New Roman"/>
        </w:rPr>
        <w:t>Binh</w:t>
      </w:r>
      <w:proofErr w:type="spellEnd"/>
      <w:r w:rsidRPr="00573EEE">
        <w:rPr>
          <w:rFonts w:eastAsia="Times New Roman"/>
        </w:rPr>
        <w:t xml:space="preserve"> province, northern Vietnam and from implementing agencies at various institutional levels. A survey of households participating in the SFE loan </w:t>
      </w:r>
      <w:proofErr w:type="spellStart"/>
      <w:r w:rsidRPr="00573EEE">
        <w:rPr>
          <w:rFonts w:eastAsia="Times New Roman"/>
        </w:rPr>
        <w:t>programme</w:t>
      </w:r>
      <w:proofErr w:type="spellEnd"/>
      <w:r w:rsidRPr="00573EEE">
        <w:rPr>
          <w:rFonts w:eastAsia="Times New Roman"/>
        </w:rPr>
        <w:t xml:space="preserve">, and two stakeholder workshops were executed in 2014. The results revealed that </w:t>
      </w:r>
      <w:proofErr w:type="spellStart"/>
      <w:r w:rsidRPr="00573EEE">
        <w:rPr>
          <w:rFonts w:eastAsia="Times New Roman"/>
        </w:rPr>
        <w:t>Tu</w:t>
      </w:r>
      <w:proofErr w:type="spellEnd"/>
      <w:r w:rsidRPr="00573EEE">
        <w:rPr>
          <w:rFonts w:eastAsia="Times New Roman"/>
        </w:rPr>
        <w:t xml:space="preserve"> Ly SFE plays an important role in the livelihood of many farmers. A SWOT analysis exhibited SFEs’ advantage over other state agencies in implementing national forest management </w:t>
      </w:r>
      <w:proofErr w:type="spellStart"/>
      <w:r w:rsidRPr="00573EEE">
        <w:rPr>
          <w:rFonts w:eastAsia="Times New Roman"/>
        </w:rPr>
        <w:t>programmes</w:t>
      </w:r>
      <w:proofErr w:type="spellEnd"/>
      <w:r w:rsidRPr="00573EEE">
        <w:rPr>
          <w:rFonts w:eastAsia="Times New Roman"/>
        </w:rPr>
        <w:t xml:space="preserve"> as there are fewer parties involved with greater autonomy and outreach in the district. This study proposes the acknowledgment of SFEs as environmental service providers in their own forestlands and to use SFEs as intermediaries in the Payments for Forest Environmental Services </w:t>
      </w:r>
      <w:proofErr w:type="spellStart"/>
      <w:r w:rsidRPr="00573EEE">
        <w:rPr>
          <w:rFonts w:eastAsia="Times New Roman"/>
        </w:rPr>
        <w:t>Programme</w:t>
      </w:r>
      <w:proofErr w:type="spellEnd"/>
      <w:r w:rsidRPr="00573EEE">
        <w:rPr>
          <w:rFonts w:eastAsia="Times New Roman"/>
        </w:rPr>
        <w:t xml:space="preserve"> activities.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9" w:name="m_-1474714270548722956__Toc502846040"/>
      <w:r w:rsidRPr="00573EEE">
        <w:rPr>
          <w:rFonts w:ascii="Calibri" w:eastAsia="Times New Roman" w:hAnsi="Calibri"/>
          <w:b/>
          <w:bCs/>
          <w:color w:val="800000"/>
          <w:sz w:val="22"/>
          <w:szCs w:val="22"/>
        </w:rPr>
        <w:t xml:space="preserve">Enhancing farmers’ market power and income in the pig value chain; a case study in </w:t>
      </w:r>
      <w:proofErr w:type="gramStart"/>
      <w:r w:rsidRPr="00573EEE">
        <w:rPr>
          <w:rFonts w:ascii="Calibri" w:eastAsia="Times New Roman" w:hAnsi="Calibri"/>
          <w:b/>
          <w:bCs/>
          <w:color w:val="800000"/>
          <w:sz w:val="22"/>
          <w:szCs w:val="22"/>
        </w:rPr>
        <w:t>Bac</w:t>
      </w:r>
      <w:proofErr w:type="gramEnd"/>
      <w:r w:rsidRPr="00573EEE">
        <w:rPr>
          <w:rFonts w:ascii="Calibri" w:eastAsia="Times New Roman" w:hAnsi="Calibri"/>
          <w:b/>
          <w:bCs/>
          <w:color w:val="800000"/>
          <w:sz w:val="22"/>
          <w:szCs w:val="22"/>
        </w:rPr>
        <w:t xml:space="preserve"> </w:t>
      </w:r>
      <w:proofErr w:type="spellStart"/>
      <w:r w:rsidRPr="00573EEE">
        <w:rPr>
          <w:rFonts w:ascii="Calibri" w:eastAsia="Times New Roman" w:hAnsi="Calibri"/>
          <w:b/>
          <w:bCs/>
          <w:color w:val="800000"/>
          <w:sz w:val="22"/>
          <w:szCs w:val="22"/>
        </w:rPr>
        <w:t>Giang</w:t>
      </w:r>
      <w:proofErr w:type="spellEnd"/>
      <w:r w:rsidRPr="00573EEE">
        <w:rPr>
          <w:rFonts w:ascii="Calibri" w:eastAsia="Times New Roman" w:hAnsi="Calibri"/>
          <w:b/>
          <w:bCs/>
          <w:color w:val="800000"/>
          <w:sz w:val="22"/>
          <w:szCs w:val="22"/>
        </w:rPr>
        <w:t xml:space="preserve"> province, Vietnam.</w:t>
      </w:r>
      <w:bookmarkEnd w:id="9"/>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Chau Le </w:t>
      </w:r>
      <w:proofErr w:type="spellStart"/>
      <w:r w:rsidRPr="00573EEE">
        <w:rPr>
          <w:rFonts w:eastAsia="Times New Roman"/>
        </w:rPr>
        <w:t>Thi</w:t>
      </w:r>
      <w:proofErr w:type="spellEnd"/>
      <w:r w:rsidRPr="00573EEE">
        <w:rPr>
          <w:rFonts w:eastAsia="Times New Roman"/>
        </w:rPr>
        <w:t xml:space="preserve"> Minh, Philippe </w:t>
      </w:r>
      <w:proofErr w:type="spellStart"/>
      <w:r w:rsidRPr="00573EEE">
        <w:rPr>
          <w:rFonts w:eastAsia="Times New Roman"/>
        </w:rPr>
        <w:t>Lebailly</w:t>
      </w:r>
      <w:proofErr w:type="spellEnd"/>
      <w:r w:rsidRPr="00573EEE">
        <w:rPr>
          <w:rFonts w:eastAsia="Times New Roman"/>
        </w:rPr>
        <w:t xml:space="preserve"> and </w:t>
      </w:r>
      <w:proofErr w:type="spellStart"/>
      <w:r w:rsidRPr="00573EEE">
        <w:rPr>
          <w:rFonts w:eastAsia="Times New Roman"/>
        </w:rPr>
        <w:t>Trung</w:t>
      </w:r>
      <w:proofErr w:type="spellEnd"/>
      <w:r w:rsidRPr="00573EEE">
        <w:rPr>
          <w:rFonts w:eastAsia="Times New Roman"/>
        </w:rPr>
        <w:t xml:space="preserve"> Tran </w:t>
      </w:r>
      <w:proofErr w:type="spellStart"/>
      <w:r w:rsidRPr="00573EEE">
        <w:rPr>
          <w:rFonts w:eastAsia="Times New Roman"/>
        </w:rPr>
        <w:t>Quang</w:t>
      </w:r>
      <w:proofErr w:type="spellEnd"/>
      <w:r w:rsidRPr="00573EEE">
        <w:rPr>
          <w:rFonts w:eastAsia="Times New Roman"/>
        </w:rPr>
        <w:t>.</w:t>
      </w:r>
      <w:proofErr w:type="gramEnd"/>
      <w:r w:rsidRPr="00573EEE">
        <w:rPr>
          <w:rFonts w:eastAsia="Times New Roman"/>
        </w:rPr>
        <w:t xml:space="preserve"> Livestock Research for Rural Development, 2017, volume 29, number 12.</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1" w:tgtFrame="_blank" w:history="1">
        <w:r w:rsidRPr="00573EEE">
          <w:rPr>
            <w:rFonts w:eastAsia="Times New Roman"/>
            <w:color w:val="0000FF"/>
            <w:u w:val="single"/>
          </w:rPr>
          <w:t>http://orbi.ulg.ac.be/handle/2268/217153</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pig sector annually contributes about 78 % of the total meat production in Vietnam. The government of Vietnam has implemented numerous policies to promote the development of the pig industry. It strongly emphasizes the production with little attention paid to marketing. Bac </w:t>
      </w:r>
      <w:proofErr w:type="spellStart"/>
      <w:r w:rsidRPr="00573EEE">
        <w:rPr>
          <w:rFonts w:eastAsia="Times New Roman"/>
        </w:rPr>
        <w:t>Giang</w:t>
      </w:r>
      <w:proofErr w:type="spellEnd"/>
      <w:r w:rsidRPr="00573EEE">
        <w:rPr>
          <w:rFonts w:eastAsia="Times New Roman"/>
        </w:rPr>
        <w:t xml:space="preserve"> is one of the provinces with the highest pig population in Vietnam. Pig production contributes up to 52% of the gross output of the livestock sector of the province. One of emerging problems is the majority of pig farmers are limited in market power and there is low income from pig production. This study aimed to </w:t>
      </w:r>
      <w:proofErr w:type="spellStart"/>
      <w:r w:rsidRPr="00573EEE">
        <w:rPr>
          <w:rFonts w:eastAsia="Times New Roman"/>
        </w:rPr>
        <w:t>analyse</w:t>
      </w:r>
      <w:proofErr w:type="spellEnd"/>
      <w:r w:rsidRPr="00573EEE">
        <w:rPr>
          <w:rFonts w:eastAsia="Times New Roman"/>
        </w:rPr>
        <w:t xml:space="preserve"> the pig value chain in </w:t>
      </w:r>
      <w:proofErr w:type="gramStart"/>
      <w:r w:rsidRPr="00573EEE">
        <w:rPr>
          <w:rFonts w:eastAsia="Times New Roman"/>
        </w:rPr>
        <w:t>Bac</w:t>
      </w:r>
      <w:proofErr w:type="gramEnd"/>
      <w:r w:rsidRPr="00573EEE">
        <w:rPr>
          <w:rFonts w:eastAsia="Times New Roman"/>
        </w:rPr>
        <w:t xml:space="preserve"> </w:t>
      </w:r>
      <w:proofErr w:type="spellStart"/>
      <w:r w:rsidRPr="00573EEE">
        <w:rPr>
          <w:rFonts w:eastAsia="Times New Roman"/>
        </w:rPr>
        <w:t>Giang</w:t>
      </w:r>
      <w:proofErr w:type="spellEnd"/>
      <w:r w:rsidRPr="00573EEE">
        <w:rPr>
          <w:rFonts w:eastAsia="Times New Roman"/>
        </w:rPr>
        <w:t xml:space="preserve"> province, identify main factors affecting farmers‟ market power and income in the chain, and propose relevant policy implications to enhance farmers‟ market power and income. It was found that pig collectors and pork retailers are the dominant players in the chain in terms of their </w:t>
      </w:r>
      <w:r w:rsidRPr="00573EEE">
        <w:rPr>
          <w:rFonts w:eastAsia="Times New Roman"/>
        </w:rPr>
        <w:lastRenderedPageBreak/>
        <w:t xml:space="preserve">strong influence on prices due to their coordination role in directing supply of pigs and carcass to market. Numerous factors affecting </w:t>
      </w:r>
      <w:proofErr w:type="spellStart"/>
      <w:r w:rsidRPr="00573EEE">
        <w:rPr>
          <w:rFonts w:eastAsia="Times New Roman"/>
        </w:rPr>
        <w:t>farmer‟s</w:t>
      </w:r>
      <w:proofErr w:type="spellEnd"/>
      <w:r w:rsidRPr="00573EEE">
        <w:rPr>
          <w:rFonts w:eastAsia="Times New Roman"/>
        </w:rPr>
        <w:t xml:space="preserve"> market power and income are weak collective action of farmers in production, lack of collective marketing, volatility of pig price, lack of formal contract farming, consumers‟ food safety concern, </w:t>
      </w:r>
      <w:proofErr w:type="gramStart"/>
      <w:r w:rsidRPr="00573EEE">
        <w:rPr>
          <w:rFonts w:eastAsia="Times New Roman"/>
        </w:rPr>
        <w:t>high</w:t>
      </w:r>
      <w:proofErr w:type="gramEnd"/>
      <w:r w:rsidRPr="00573EEE">
        <w:rPr>
          <w:rFonts w:eastAsia="Times New Roman"/>
        </w:rPr>
        <w:t xml:space="preserve"> price of feed and animal disease. Enhancing farmers‟ market power depends on farmers and public </w:t>
      </w:r>
      <w:proofErr w:type="spellStart"/>
      <w:r w:rsidRPr="00573EEE">
        <w:rPr>
          <w:rFonts w:eastAsia="Times New Roman"/>
        </w:rPr>
        <w:t>authority‟s</w:t>
      </w:r>
      <w:proofErr w:type="spellEnd"/>
      <w:r w:rsidRPr="00573EEE">
        <w:rPr>
          <w:rFonts w:eastAsia="Times New Roman"/>
        </w:rPr>
        <w:t xml:space="preserve"> involvement in the various strategies of implementation. Some policy implications focus on the improvement of farmer collective action and government actions related to supporting farmer collective action.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0" w:name="m_-1474714270548722956__Toc502846041"/>
      <w:r w:rsidRPr="00573EEE">
        <w:rPr>
          <w:rFonts w:ascii="Calibri" w:eastAsia="Times New Roman" w:hAnsi="Calibri"/>
          <w:b/>
          <w:bCs/>
          <w:color w:val="800000"/>
          <w:sz w:val="22"/>
          <w:szCs w:val="22"/>
        </w:rPr>
        <w:t>The political economy of policy exceptionalism during economic transition: the case of rice policy in Vietnam.</w:t>
      </w:r>
      <w:bookmarkEnd w:id="10"/>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H.T.M. Nguyen, H.</w:t>
      </w:r>
      <w:proofErr w:type="gramEnd"/>
      <w:r w:rsidRPr="00573EEE">
        <w:rPr>
          <w:rFonts w:eastAsia="Times New Roman"/>
        </w:rPr>
        <w:t xml:space="preserve"> Do, A. Kay, T. </w:t>
      </w:r>
      <w:proofErr w:type="spellStart"/>
      <w:r w:rsidRPr="00573EEE">
        <w:rPr>
          <w:rFonts w:eastAsia="Times New Roman"/>
        </w:rPr>
        <w:t>Kompas</w:t>
      </w:r>
      <w:proofErr w:type="spellEnd"/>
      <w:r w:rsidRPr="00573EEE">
        <w:rPr>
          <w:rFonts w:eastAsia="Times New Roman"/>
        </w:rPr>
        <w:t xml:space="preserve">, C. N. Nguyen and others. </w:t>
      </w:r>
      <w:proofErr w:type="gramStart"/>
      <w:r w:rsidRPr="00573EEE">
        <w:rPr>
          <w:rFonts w:eastAsia="Times New Roman"/>
        </w:rPr>
        <w:t>Crawford School Working Paper 1713,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2" w:tgtFrame="_blank" w:history="1">
        <w:r w:rsidRPr="00573EEE">
          <w:rPr>
            <w:rFonts w:eastAsia="Times New Roman"/>
            <w:color w:val="0000FF"/>
            <w:u w:val="single"/>
          </w:rPr>
          <w:t>https://crawford.anu.edu.au/publication/crawford-school-working-papers/12021/political-economy-policy-exceptionalism-during</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global food security agenda depends on the world rice market which is the thinnest among key cereal markets and often distorted by government interventions. Existing literature suggests that these interventions are not economically efficient. This paper focuses on the political economy of those interventions, asking why they were adopted. The answer is drawn from insights on Vietnam as a case study. Although by no means a representative case, Vietnam is chosen not only for being a key rice exporter but especially so for its unique success in overcoming the inherent tension between ‘socialist’ and ‘market-based’ objectives during its transition to a market-based economy, albeit with a socialist orientation. We find that rice sector in Vietnam has not been fully reformed to follow market rules despite Vietnam’s accession to the World Trade Organization. This is due to the interaction of economic </w:t>
      </w:r>
      <w:proofErr w:type="spellStart"/>
      <w:r w:rsidRPr="00573EEE">
        <w:rPr>
          <w:rFonts w:eastAsia="Times New Roman"/>
        </w:rPr>
        <w:t>liberalisation</w:t>
      </w:r>
      <w:proofErr w:type="spellEnd"/>
      <w:r w:rsidRPr="00573EEE">
        <w:rPr>
          <w:rFonts w:eastAsia="Times New Roman"/>
        </w:rPr>
        <w:t xml:space="preserve"> processes and the ruling Communist Party’s political survival strategy. In this context, seemingly economic disequilibria are shown to be stable, enduring policy settings. In open economy politics, the case reveals how economically sub-optimal policies may be `successful’ politically even in the face of what appear to be severe domestic political constraints on reform from external economic pressures.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11" w:name="m_-1474714270548722956__Toc502846042"/>
      <w:r w:rsidRPr="00573EEE">
        <w:rPr>
          <w:rFonts w:eastAsia="Times New Roman"/>
          <w:b/>
          <w:bCs/>
          <w:kern w:val="36"/>
          <w:sz w:val="48"/>
          <w:szCs w:val="48"/>
          <w:shd w:val="clear" w:color="auto" w:fill="D3D3D3"/>
        </w:rPr>
        <w:lastRenderedPageBreak/>
        <w:t>Economic development</w:t>
      </w:r>
      <w:bookmarkEnd w:id="11"/>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2" w:name="m_-1474714270548722956__Toc502846043"/>
      <w:r w:rsidRPr="00573EEE">
        <w:rPr>
          <w:rFonts w:ascii="Calibri" w:eastAsia="Times New Roman" w:hAnsi="Calibri"/>
          <w:b/>
          <w:bCs/>
          <w:color w:val="800000"/>
          <w:sz w:val="22"/>
          <w:szCs w:val="22"/>
        </w:rPr>
        <w:t>Bank Competition and Financial Stability: Empirical Evidence in Vietnam.</w:t>
      </w:r>
      <w:bookmarkEnd w:id="12"/>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t>Tuyen</w:t>
      </w:r>
      <w:proofErr w:type="spellEnd"/>
      <w:r w:rsidRPr="00573EEE">
        <w:rPr>
          <w:rFonts w:eastAsia="Times New Roman"/>
        </w:rPr>
        <w:t xml:space="preserve"> L. Nguyen, Anh H. Le and Dao M. Tran.</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Econometrics for Financial Applications, Springer International Publishing, Cham, 2018, pp. 584-596.</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relationship between competition and stability of the commercial banking system has been at the heart of scholarly and policy debates over the past two decades, especially since the 2008 financial crisis. In this study, we focus on </w:t>
      </w:r>
      <w:proofErr w:type="spellStart"/>
      <w:r w:rsidRPr="00573EEE">
        <w:rPr>
          <w:rFonts w:eastAsia="Times New Roman"/>
        </w:rPr>
        <w:t>analysing</w:t>
      </w:r>
      <w:proofErr w:type="spellEnd"/>
      <w:r w:rsidRPr="00573EEE">
        <w:rPr>
          <w:rFonts w:eastAsia="Times New Roman"/>
        </w:rPr>
        <w:t xml:space="preserve"> the relationship between competition and stability with 24 commercial banks in Vietnam for the period 2008–2016. Our study results show that increasing competition helps Vietnam’s banking system become more stable. However, the relationship between competition and stability is nonlinear. The results of our study also show the impact of competition on the stability of Vietnam’s banking system in a crisis situation. In the context of financial crisis, the instability and NPL of Vietnam commercial banks are increased. At the same time, increased competition can cause instability for the commercial banking system in Vietnam.</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3" w:name="m_-1474714270548722956__Toc502846044"/>
      <w:proofErr w:type="gramStart"/>
      <w:r w:rsidRPr="00573EEE">
        <w:rPr>
          <w:rFonts w:ascii="Calibri" w:eastAsia="Times New Roman" w:hAnsi="Calibri"/>
          <w:b/>
          <w:bCs/>
          <w:color w:val="800000"/>
          <w:sz w:val="22"/>
          <w:szCs w:val="22"/>
        </w:rPr>
        <w:t>The Determinants of People Credit Funds Efficiency in Mekong Delta of Vietnam.</w:t>
      </w:r>
      <w:bookmarkEnd w:id="13"/>
      <w:proofErr w:type="gramEnd"/>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t>Vuong</w:t>
      </w:r>
      <w:proofErr w:type="spellEnd"/>
      <w:r w:rsidRPr="00573EEE">
        <w:rPr>
          <w:rFonts w:eastAsia="Times New Roman"/>
        </w:rPr>
        <w:t xml:space="preserve"> Quoc </w:t>
      </w:r>
      <w:proofErr w:type="spellStart"/>
      <w:r w:rsidRPr="00573EEE">
        <w:rPr>
          <w:rFonts w:eastAsia="Times New Roman"/>
        </w:rPr>
        <w:t>Duy</w:t>
      </w:r>
      <w:proofErr w:type="spellEnd"/>
      <w:r w:rsidRPr="00573EEE">
        <w:rPr>
          <w:rFonts w:eastAsia="Times New Roman"/>
        </w:rPr>
        <w:t>.</w:t>
      </w:r>
      <w:proofErr w:type="gramEnd"/>
      <w:r w:rsidRPr="00573EEE">
        <w:rPr>
          <w:rFonts w:eastAsia="Times New Roman"/>
        </w:rPr>
        <w:t xml:space="preserve"> International Research Journal of Advanced Engineering and Science, 2017, volume 2, number 4.</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3" w:tgtFrame="_blank" w:history="1">
        <w:r w:rsidRPr="00573EEE">
          <w:rPr>
            <w:rFonts w:eastAsia="Times New Roman"/>
            <w:color w:val="0000FF"/>
            <w:u w:val="single"/>
          </w:rPr>
          <w:t>http://www.irjaes.com/pdf/V2N4Y17-IRJAES/IRJAES-V2N4P359Y17.pdf</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paper investigates the determinants of technical efficiency of the 134 PCFs in Mekong Delta from 2013-2016. In the combination of quantitative and qualitative analyses, the findings showed that the technical efficiency of the PCFs in Mekong Delta is quite low representing by the cost efficiency (CE) about 43.2%. The explanation for the non-economics efficiency comes from </w:t>
      </w:r>
      <w:proofErr w:type="spellStart"/>
      <w:r w:rsidRPr="00573EEE">
        <w:rPr>
          <w:rFonts w:eastAsia="Times New Roman"/>
        </w:rPr>
        <w:t>twoford</w:t>
      </w:r>
      <w:proofErr w:type="spellEnd"/>
      <w:r w:rsidRPr="00573EEE">
        <w:rPr>
          <w:rFonts w:eastAsia="Times New Roman"/>
        </w:rPr>
        <w:t xml:space="preserve"> inefficiency in technical and in-efficiency in allocation. Besides, the input factors have not been efficiency employed, about 35.3% costly, by the PCFs in Mekong </w:t>
      </w:r>
      <w:r w:rsidRPr="00573EEE">
        <w:rPr>
          <w:rFonts w:eastAsia="Times New Roman"/>
        </w:rPr>
        <w:lastRenderedPageBreak/>
        <w:t>Delta. Moreover, the PCFs in the studied area have the increase rates of scales (IRS), in which most of the PCFs is a small and medium entity. Lastly, the findings from Malmquist indicated that the performance growth rates the average total factors of the PCFs is about 1.037, meaning that the growth rate of TFP account for 3.7%. This can be explained by the changes of technical efficiency and technical innovation.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4" w:name="m_-1474714270548722956__Toc502846045"/>
      <w:r w:rsidRPr="00573EEE">
        <w:rPr>
          <w:rFonts w:ascii="Calibri" w:eastAsia="Times New Roman" w:hAnsi="Calibri"/>
          <w:b/>
          <w:bCs/>
          <w:color w:val="800000"/>
          <w:sz w:val="22"/>
          <w:szCs w:val="22"/>
        </w:rPr>
        <w:t>The Effect of Macroeconomic Factors on Investor Purchase Decision: The Case Study of HOSE.</w:t>
      </w:r>
      <w:bookmarkEnd w:id="14"/>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Tran Anh Tung, Pham Van </w:t>
      </w:r>
      <w:proofErr w:type="spellStart"/>
      <w:r w:rsidRPr="00573EEE">
        <w:rPr>
          <w:rFonts w:eastAsia="Times New Roman"/>
        </w:rPr>
        <w:t>Kien</w:t>
      </w:r>
      <w:proofErr w:type="spellEnd"/>
      <w:r w:rsidRPr="00573EEE">
        <w:rPr>
          <w:rFonts w:eastAsia="Times New Roman"/>
        </w:rPr>
        <w:t xml:space="preserve"> and Ho Thanh </w:t>
      </w:r>
      <w:proofErr w:type="spellStart"/>
      <w:r w:rsidRPr="00573EEE">
        <w:rPr>
          <w:rFonts w:eastAsia="Times New Roman"/>
        </w:rPr>
        <w:t>Phong</w:t>
      </w:r>
      <w:proofErr w:type="spellEnd"/>
      <w:r w:rsidRPr="00573EEE">
        <w:rPr>
          <w:rFonts w:eastAsia="Times New Roman"/>
        </w:rPr>
        <w:t>.</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Econometrics for Financial Applications, Springer International Publishing, Cham, 2018, pp. 999-1013.</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Purpose: The aim of this paper is to examine how macroeconomic factors affect investors purchase decision based on the volatile trading value of VN-index in the Ho Chi Minh Stock exchange. --- Methodology: This study applies the quantitative approach as the major method. The quantitative analysis of this research will conduct by using R-software and SPSS with statistical technique including simple time series analysis, stationary testing parameters, model specification, and binary logistic regression analysis. The study uses the secondary data collected online from the period of 2008 to 2015. Specifically, this paper uses a total of 84 data points which are plenty for the effective regression analysis. This study attempts to provide the better understanding of investors’ behavior under effect of macroeconomic factors. --- Findings: All measurement parameters in this study demonstrate as stationary factors and macroeconomic factors show the significant effects on investor purchase decision with regard to Inflation rate, Crude oil price, and Exchange rate. As a result, this research indicates the result of binary regression model related to the odd ratio equation and the level of accurate prediction of the model. --- Value: There are various studies carried out to examine the macroeconomic effects on investor purchase decision, but very few of them observed the said effects with the empirical approach. For this reason, this study applies the new method of binary logistic regression in order to calculate the proportion of purchase decision.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5" w:name="m_-1474714270548722956__Toc502846046"/>
      <w:r w:rsidRPr="00573EEE">
        <w:rPr>
          <w:rFonts w:ascii="Calibri" w:eastAsia="Times New Roman" w:hAnsi="Calibri"/>
          <w:b/>
          <w:bCs/>
          <w:color w:val="800000"/>
          <w:sz w:val="22"/>
          <w:szCs w:val="22"/>
        </w:rPr>
        <w:t>The Effects of Foreign Bank Entry, Deregulation on Bank Efficiency in Vietnam: Stochastic Frontier Analysis Approach.</w:t>
      </w:r>
      <w:bookmarkEnd w:id="15"/>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Pham </w:t>
      </w:r>
      <w:proofErr w:type="spellStart"/>
      <w:r w:rsidRPr="00573EEE">
        <w:rPr>
          <w:rFonts w:eastAsia="Times New Roman"/>
        </w:rPr>
        <w:t>Dinh</w:t>
      </w:r>
      <w:proofErr w:type="spellEnd"/>
      <w:r w:rsidRPr="00573EEE">
        <w:rPr>
          <w:rFonts w:eastAsia="Times New Roman"/>
        </w:rPr>
        <w:t xml:space="preserve"> Long and Luong Cong Hoang.</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Econometrics for Financial Applications, Springer International Publishing, Cham, 2018, pp. 727-743.</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xml:space="preserve">Abstract: This study examines the effects of foreign banks entry on the efficiency of domestic banks in Vietnam following the program of financial deregulation initiated by the government. We also review the bank efficiency in term of bank size and ownership structure. There are two main approaches to assess the efficiency of a bank: data envelopment analysis (DEA) and stochastic frontier analysis (SFA). In this paper, we apply the SFA method which is suggested by Berger et al. (2009), </w:t>
      </w:r>
      <w:proofErr w:type="spellStart"/>
      <w:r w:rsidRPr="00573EEE">
        <w:rPr>
          <w:rFonts w:eastAsia="Times New Roman"/>
        </w:rPr>
        <w:t>Ahn</w:t>
      </w:r>
      <w:proofErr w:type="spellEnd"/>
      <w:r w:rsidRPr="00573EEE">
        <w:rPr>
          <w:rFonts w:eastAsia="Times New Roman"/>
        </w:rPr>
        <w:t xml:space="preserve"> et al. (2001) to estimate the cost and profit efficiency of three groups: 100% foreign-owned, big four state-owned and other domestic banks. </w:t>
      </w:r>
      <w:proofErr w:type="gramStart"/>
      <w:r w:rsidRPr="00573EEE">
        <w:rPr>
          <w:rFonts w:eastAsia="Times New Roman"/>
        </w:rPr>
        <w:t xml:space="preserve">Based on the initial sample which is collected from the </w:t>
      </w:r>
      <w:proofErr w:type="spellStart"/>
      <w:r w:rsidRPr="00573EEE">
        <w:rPr>
          <w:rFonts w:eastAsia="Times New Roman"/>
        </w:rPr>
        <w:t>BankScope</w:t>
      </w:r>
      <w:proofErr w:type="spellEnd"/>
      <w:r w:rsidRPr="00573EEE">
        <w:rPr>
          <w:rFonts w:eastAsia="Times New Roman"/>
        </w:rPr>
        <w:t xml:space="preserve"> database of Bureau van </w:t>
      </w:r>
      <w:proofErr w:type="spellStart"/>
      <w:r w:rsidRPr="00573EEE">
        <w:rPr>
          <w:rFonts w:eastAsia="Times New Roman"/>
        </w:rPr>
        <w:t>Dijk</w:t>
      </w:r>
      <w:proofErr w:type="spellEnd"/>
      <w:r w:rsidRPr="00573EEE">
        <w:rPr>
          <w:rFonts w:eastAsia="Times New Roman"/>
        </w:rPr>
        <w:t xml:space="preserve"> and Fitch Ratings and annual reports of 37 banks in Vietnam for the period 2009–2015.</w:t>
      </w:r>
      <w:proofErr w:type="gramEnd"/>
      <w:r w:rsidRPr="00573EEE">
        <w:rPr>
          <w:rFonts w:eastAsia="Times New Roman"/>
        </w:rPr>
        <w:t xml:space="preserve"> Results indicate that big four state-owned banks are seemly efficiency on both cost and profit approach while the 100% foreign-owned banks are not the most efficiency overall. However, the 100% foreign-owned banks are able to gain economy of scale in revenue while the big four state-owned and other domestic banks hardly take an advantage of economic of scale. All group of bank obtain the economy of scope but the level is different. Other domestic banks may exploit economy of scope greater than big four and foreign banks.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6" w:name="m_-1474714270548722956__Toc502846047"/>
      <w:r w:rsidRPr="00573EEE">
        <w:rPr>
          <w:rFonts w:ascii="Calibri" w:eastAsia="Times New Roman" w:hAnsi="Calibri"/>
          <w:b/>
          <w:bCs/>
          <w:color w:val="800000"/>
          <w:sz w:val="22"/>
          <w:szCs w:val="22"/>
        </w:rPr>
        <w:t>Zero Interest Rate for the US Dollar Deposit and Dollarization: The Case of Vietnam.</w:t>
      </w:r>
      <w:bookmarkEnd w:id="16"/>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Pham </w:t>
      </w:r>
      <w:proofErr w:type="spellStart"/>
      <w:r w:rsidRPr="00573EEE">
        <w:rPr>
          <w:rFonts w:eastAsia="Times New Roman"/>
        </w:rPr>
        <w:t>Thi</w:t>
      </w:r>
      <w:proofErr w:type="spellEnd"/>
      <w:r w:rsidRPr="00573EEE">
        <w:rPr>
          <w:rFonts w:eastAsia="Times New Roman"/>
        </w:rPr>
        <w:t xml:space="preserve"> Hoang Anh. </w:t>
      </w:r>
      <w:proofErr w:type="gramStart"/>
      <w:r w:rsidRPr="00573EEE">
        <w:rPr>
          <w:rFonts w:eastAsia="Times New Roman"/>
        </w:rPr>
        <w:t>in</w:t>
      </w:r>
      <w:proofErr w:type="gramEnd"/>
      <w:r w:rsidRPr="00573EEE">
        <w:rPr>
          <w:rFonts w:eastAsia="Times New Roman"/>
        </w:rPr>
        <w:t>: Econometrics for Financial Applications, Springer International Publishing, Cham, 2018, pp. 792-809.</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The paper’s objective is to assess the impact of the ceiling and zero interest rate for US dollar deposits on dollarization index and, more generally, to find factors affecting dollarization in Vietnam. By employing the VAR model with six variables, the paper found empirical evidence that the ceiling on the interest rate for US dollar deposits and the interest rate differentials are important factors affecting deposit dollarization in Vietnam. These results are in agreement with the fact that after the ceiling rate for US dollar deposits was decreased from three percent to zero while maintaining a positive interest rate differential, the deposit dollarization ratio decreased significantly. Inflation, parallel market premium, and international reserves are also found to be important determinants of dollarization status in Vietnam.</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7" w:name="m_-1474714270548722956__Toc502846048"/>
      <w:proofErr w:type="gramStart"/>
      <w:r w:rsidRPr="00573EEE">
        <w:rPr>
          <w:rFonts w:ascii="Calibri" w:eastAsia="Times New Roman" w:hAnsi="Calibri"/>
          <w:b/>
          <w:bCs/>
          <w:color w:val="800000"/>
          <w:sz w:val="22"/>
          <w:szCs w:val="22"/>
        </w:rPr>
        <w:t xml:space="preserve">Representing </w:t>
      </w:r>
      <w:proofErr w:type="spellStart"/>
      <w:r w:rsidRPr="00573EEE">
        <w:rPr>
          <w:rFonts w:ascii="Calibri" w:eastAsia="Times New Roman" w:hAnsi="Calibri"/>
          <w:b/>
          <w:bCs/>
          <w:color w:val="800000"/>
          <w:sz w:val="22"/>
          <w:szCs w:val="22"/>
        </w:rPr>
        <w:t>Doi</w:t>
      </w:r>
      <w:proofErr w:type="spellEnd"/>
      <w:r w:rsidRPr="00573EEE">
        <w:rPr>
          <w:rFonts w:ascii="Calibri" w:eastAsia="Times New Roman" w:hAnsi="Calibri"/>
          <w:b/>
          <w:bCs/>
          <w:color w:val="800000"/>
          <w:sz w:val="22"/>
          <w:szCs w:val="22"/>
        </w:rPr>
        <w:t xml:space="preserve"> </w:t>
      </w:r>
      <w:proofErr w:type="spellStart"/>
      <w:r w:rsidRPr="00573EEE">
        <w:rPr>
          <w:rFonts w:ascii="Calibri" w:eastAsia="Times New Roman" w:hAnsi="Calibri"/>
          <w:b/>
          <w:bCs/>
          <w:color w:val="800000"/>
          <w:sz w:val="22"/>
          <w:szCs w:val="22"/>
        </w:rPr>
        <w:t>Moi</w:t>
      </w:r>
      <w:proofErr w:type="spellEnd"/>
      <w:r w:rsidRPr="00573EEE">
        <w:rPr>
          <w:rFonts w:ascii="Calibri" w:eastAsia="Times New Roman" w:hAnsi="Calibri"/>
          <w:b/>
          <w:bCs/>
          <w:color w:val="800000"/>
          <w:sz w:val="22"/>
          <w:szCs w:val="22"/>
        </w:rPr>
        <w:t>: history, memory and shifting national narratives in late-socialist Vietnam.</w:t>
      </w:r>
      <w:bookmarkEnd w:id="17"/>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Graeme Were. International Journal of Heritage Studies, 2017, pp. 1-15.</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xml:space="preserve">Abstract: In late-socialist states, what are the drivers of shifts in national narratives and how can a focus on the museum method reveal the way state institutions construct national myths and nationalist ideologies? This paper addresses these questions by focusing on a behind-the-scenes ethnography of an exhibition celebrating 30 years of </w:t>
      </w:r>
      <w:proofErr w:type="spellStart"/>
      <w:r w:rsidRPr="00573EEE">
        <w:rPr>
          <w:rFonts w:eastAsia="Times New Roman"/>
        </w:rPr>
        <w:t>Doi</w:t>
      </w:r>
      <w:proofErr w:type="spellEnd"/>
      <w:r w:rsidRPr="00573EEE">
        <w:rPr>
          <w:rFonts w:eastAsia="Times New Roman"/>
        </w:rPr>
        <w:t xml:space="preserve"> </w:t>
      </w:r>
      <w:proofErr w:type="spellStart"/>
      <w:proofErr w:type="gramStart"/>
      <w:r w:rsidRPr="00573EEE">
        <w:rPr>
          <w:rFonts w:eastAsia="Times New Roman"/>
        </w:rPr>
        <w:t>Moi</w:t>
      </w:r>
      <w:proofErr w:type="spellEnd"/>
      <w:r w:rsidRPr="00573EEE">
        <w:rPr>
          <w:rFonts w:eastAsia="Times New Roman"/>
        </w:rPr>
        <w:t xml:space="preserve"> ?</w:t>
      </w:r>
      <w:proofErr w:type="gramEnd"/>
      <w:r w:rsidRPr="00573EEE">
        <w:rPr>
          <w:rFonts w:eastAsia="Times New Roman"/>
        </w:rPr>
        <w:t xml:space="preserve"> </w:t>
      </w:r>
      <w:proofErr w:type="gramStart"/>
      <w:r w:rsidRPr="00573EEE">
        <w:rPr>
          <w:rFonts w:eastAsia="Times New Roman"/>
        </w:rPr>
        <w:t>the</w:t>
      </w:r>
      <w:proofErr w:type="gramEnd"/>
      <w:r w:rsidRPr="00573EEE">
        <w:rPr>
          <w:rFonts w:eastAsia="Times New Roman"/>
        </w:rPr>
        <w:t xml:space="preserve"> economic reform period in Vietnam that commenced in 1986. Focusing on the museum as </w:t>
      </w:r>
      <w:proofErr w:type="gramStart"/>
      <w:r w:rsidRPr="00573EEE">
        <w:rPr>
          <w:rFonts w:eastAsia="Times New Roman"/>
        </w:rPr>
        <w:t>method ?</w:t>
      </w:r>
      <w:proofErr w:type="gramEnd"/>
      <w:r w:rsidRPr="00573EEE">
        <w:rPr>
          <w:rFonts w:eastAsia="Times New Roman"/>
        </w:rPr>
        <w:t xml:space="preserve"> </w:t>
      </w:r>
      <w:proofErr w:type="gramStart"/>
      <w:r w:rsidRPr="00573EEE">
        <w:rPr>
          <w:rFonts w:eastAsia="Times New Roman"/>
        </w:rPr>
        <w:t>the</w:t>
      </w:r>
      <w:proofErr w:type="gramEnd"/>
      <w:r w:rsidRPr="00573EEE">
        <w:rPr>
          <w:rFonts w:eastAsia="Times New Roman"/>
        </w:rPr>
        <w:t xml:space="preserve"> process of documenting how curators deliberate over labels, objects, photos and so forth ? </w:t>
      </w:r>
      <w:proofErr w:type="gramStart"/>
      <w:r w:rsidRPr="00573EEE">
        <w:rPr>
          <w:rFonts w:eastAsia="Times New Roman"/>
        </w:rPr>
        <w:t>the</w:t>
      </w:r>
      <w:proofErr w:type="gramEnd"/>
      <w:r w:rsidRPr="00573EEE">
        <w:rPr>
          <w:rFonts w:eastAsia="Times New Roman"/>
        </w:rPr>
        <w:t xml:space="preserve"> paper analyses how national narratives are authored and transformed through curatorial exchanges and expert forums. By focusing on how aesthetics and achievement provide a foundation for inclusive interpretative strategies that integrate official histories alongside personal memories, this paper reflects on the alienating effects of official histories in state institutions and the strategies by which people appropriate these to reclaim their past.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18" w:name="m_-1474714270548722956__Toc502846049"/>
      <w:r w:rsidRPr="00573EEE">
        <w:rPr>
          <w:rFonts w:ascii="Calibri" w:eastAsia="Times New Roman" w:hAnsi="Calibri"/>
          <w:b/>
          <w:bCs/>
          <w:color w:val="800000"/>
          <w:sz w:val="22"/>
          <w:szCs w:val="22"/>
        </w:rPr>
        <w:t>Anti-Chinese Protest in Vietnam: Complex Conjunctures of Resource Governance, Geopolitics and State–Society Deadlock.</w:t>
      </w:r>
      <w:bookmarkEnd w:id="18"/>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Jason Morris-Jung and Pham Van Min. in: In China's Backyard: Policies and Politics of Chinese Resource Investments in Southeast Asia, ISEAS – </w:t>
      </w:r>
      <w:proofErr w:type="spellStart"/>
      <w:r w:rsidRPr="00573EEE">
        <w:rPr>
          <w:rFonts w:eastAsia="Times New Roman"/>
        </w:rPr>
        <w:t>Yusof</w:t>
      </w:r>
      <w:proofErr w:type="spellEnd"/>
      <w:r w:rsidRPr="00573EEE">
        <w:rPr>
          <w:rFonts w:eastAsia="Times New Roman"/>
        </w:rPr>
        <w:t xml:space="preserve"> </w:t>
      </w:r>
      <w:proofErr w:type="spellStart"/>
      <w:r w:rsidRPr="00573EEE">
        <w:rPr>
          <w:rFonts w:eastAsia="Times New Roman"/>
        </w:rPr>
        <w:t>Ishak</w:t>
      </w:r>
      <w:proofErr w:type="spellEnd"/>
      <w:r w:rsidRPr="00573EEE">
        <w:rPr>
          <w:rFonts w:eastAsia="Times New Roman"/>
        </w:rPr>
        <w:t xml:space="preserve"> Institute, 2017.</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"In this fascinating multi-disciplinary and multi-sited volume, the authors challenge reductionist and oversimplifying approaches to understanding China's engagement with Southeast Asia. Productively viewing these interactions through a 'resource lens', the editor has transcended disciplinary and area studies divides in order to assemble a dynamic and diverse group of scholars with extensive experience across Southeast Asia and in China, all while bringing together perspectives from resource economics, policy analysis, international relations, human geography, political ecology, history, sociology and anthropology. The result is an important collection that not only offers empirically detailed studies of Chinese energy and resource investments in Southeast Asia, but which attends to the complex and often ambivalent ways in which such investments </w:t>
      </w:r>
      <w:proofErr w:type="gramStart"/>
      <w:r w:rsidRPr="00573EEE">
        <w:rPr>
          <w:rFonts w:eastAsia="Times New Roman"/>
        </w:rPr>
        <w:t>have</w:t>
      </w:r>
      <w:proofErr w:type="gramEnd"/>
      <w:r w:rsidRPr="00573EEE">
        <w:rPr>
          <w:rFonts w:eastAsia="Times New Roman"/>
        </w:rPr>
        <w:t xml:space="preserve"> become both a source of anxiety and aspiration for different stakeholders in the region. It is essential reading for scholars seeking to understand the diverse contours of Chinese investment in Southeast Asia"— Erik Harms, Department of Anthropology, Yale University ---- "How have large-scale resource deals between China and the countries of Southeast Asia come to rest in places and </w:t>
      </w:r>
      <w:proofErr w:type="spellStart"/>
      <w:r w:rsidRPr="00573EEE">
        <w:rPr>
          <w:rFonts w:eastAsia="Times New Roman"/>
        </w:rPr>
        <w:t>peoples</w:t>
      </w:r>
      <w:proofErr w:type="spellEnd"/>
      <w:r w:rsidRPr="00573EEE">
        <w:rPr>
          <w:rFonts w:eastAsia="Times New Roman"/>
        </w:rPr>
        <w:t xml:space="preserve"> lives? This is the question that animates this important book, complicating what is often seen in stark, binary terms. There is no simple answer, as the contributions make all too clear. Local histories and geographies, socio-cultural contexts and national policies all require an excavation of shaping factors and conditions if a semblance of explanation is to be rendered. This book helps us in that process of getting beneath the surface." — Jonathan </w:t>
      </w:r>
      <w:proofErr w:type="spellStart"/>
      <w:r w:rsidRPr="00573EEE">
        <w:rPr>
          <w:rFonts w:eastAsia="Times New Roman"/>
        </w:rPr>
        <w:t>Rigg</w:t>
      </w:r>
      <w:proofErr w:type="spellEnd"/>
      <w:r w:rsidRPr="00573EEE">
        <w:rPr>
          <w:rFonts w:eastAsia="Times New Roman"/>
        </w:rPr>
        <w:t>, Director, Asia Research Institute and Raffles Professor of Social Science, Department of Geography, National University of Singapore.</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0D58FA" w:rsidRDefault="000D58FA" w:rsidP="00573EEE">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r w:rsidR="00573EEE" w:rsidRPr="00573EEE">
        <w:rPr>
          <w:rFonts w:eastAsia="Times New Roman"/>
        </w:rPr>
        <w:t> </w:t>
      </w:r>
    </w:p>
    <w:p w:rsidR="000D58FA" w:rsidRDefault="000D58FA" w:rsidP="00573EEE">
      <w:pPr>
        <w:outlineLvl w:val="1"/>
        <w:rPr>
          <w:rFonts w:ascii="Calibri" w:eastAsia="Times New Roman" w:hAnsi="Calibri"/>
          <w:b/>
          <w:bCs/>
          <w:color w:val="800000"/>
          <w:sz w:val="22"/>
          <w:szCs w:val="22"/>
        </w:rPr>
      </w:pPr>
      <w:bookmarkStart w:id="19" w:name="m_-1474714270548722956__Toc502846050"/>
    </w:p>
    <w:p w:rsidR="00573EEE" w:rsidRPr="00573EEE" w:rsidRDefault="00573EEE" w:rsidP="00573EEE">
      <w:pPr>
        <w:outlineLvl w:val="1"/>
        <w:rPr>
          <w:rFonts w:eastAsia="Times New Roman"/>
          <w:b/>
          <w:bCs/>
          <w:sz w:val="36"/>
          <w:szCs w:val="36"/>
        </w:rPr>
      </w:pPr>
      <w:r w:rsidRPr="00573EEE">
        <w:rPr>
          <w:rFonts w:ascii="Calibri" w:eastAsia="Times New Roman" w:hAnsi="Calibri"/>
          <w:b/>
          <w:bCs/>
          <w:color w:val="800000"/>
          <w:sz w:val="22"/>
          <w:szCs w:val="22"/>
        </w:rPr>
        <w:t>Segmentation and informality in Vietnam: A survey of the literature.</w:t>
      </w:r>
      <w:bookmarkEnd w:id="19"/>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Jean-Pierre Cling, Mireille </w:t>
      </w:r>
      <w:proofErr w:type="spellStart"/>
      <w:r w:rsidRPr="00573EEE">
        <w:rPr>
          <w:rFonts w:eastAsia="Times New Roman"/>
        </w:rPr>
        <w:t>Razafindrakoto</w:t>
      </w:r>
      <w:proofErr w:type="spellEnd"/>
      <w:r w:rsidRPr="00573EEE">
        <w:rPr>
          <w:rFonts w:eastAsia="Times New Roman"/>
        </w:rPr>
        <w:t xml:space="preserve"> and François </w:t>
      </w:r>
      <w:proofErr w:type="spellStart"/>
      <w:r w:rsidRPr="00573EEE">
        <w:rPr>
          <w:rFonts w:eastAsia="Times New Roman"/>
        </w:rPr>
        <w:t>Roubaud</w:t>
      </w:r>
      <w:proofErr w:type="spellEnd"/>
      <w:r w:rsidRPr="00573EEE">
        <w:rPr>
          <w:rFonts w:eastAsia="Times New Roman"/>
        </w:rPr>
        <w:t>,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4" w:tgtFrame="_blank" w:history="1">
        <w:r w:rsidRPr="00573EEE">
          <w:rPr>
            <w:rFonts w:eastAsia="Times New Roman"/>
            <w:color w:val="0000FF"/>
            <w:u w:val="single"/>
          </w:rPr>
          <w:t>https://hal.archives-ouvertes.fr/hal-01653653/document</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w:t>
      </w:r>
      <w:proofErr w:type="spellStart"/>
      <w:r w:rsidRPr="00573EEE">
        <w:rPr>
          <w:rFonts w:eastAsia="Times New Roman"/>
        </w:rPr>
        <w:t>Labour</w:t>
      </w:r>
      <w:proofErr w:type="spellEnd"/>
      <w:r w:rsidRPr="00573EEE">
        <w:rPr>
          <w:rFonts w:eastAsia="Times New Roman"/>
        </w:rPr>
        <w:t xml:space="preserve"> market segmentation is usually defined as the division of the </w:t>
      </w:r>
      <w:proofErr w:type="spellStart"/>
      <w:r w:rsidRPr="00573EEE">
        <w:rPr>
          <w:rFonts w:eastAsia="Times New Roman"/>
        </w:rPr>
        <w:t>labour</w:t>
      </w:r>
      <w:proofErr w:type="spellEnd"/>
      <w:r w:rsidRPr="00573EEE">
        <w:rPr>
          <w:rFonts w:eastAsia="Times New Roman"/>
        </w:rPr>
        <w:t xml:space="preserve"> markets into separate submarkets or segments, distinguished by different characteristics and </w:t>
      </w:r>
      <w:proofErr w:type="spellStart"/>
      <w:r w:rsidRPr="00573EEE">
        <w:rPr>
          <w:rFonts w:eastAsia="Times New Roman"/>
        </w:rPr>
        <w:t>behavioural</w:t>
      </w:r>
      <w:proofErr w:type="spellEnd"/>
      <w:r w:rsidRPr="00573EEE">
        <w:rPr>
          <w:rFonts w:eastAsia="Times New Roman"/>
        </w:rPr>
        <w:t xml:space="preserve"> rules (incomes, contracts, etc.). The economic debate on the segmentation issue has been focusing in developed countries, and especially in Europe, on contractual segmentation and dualism. However, in developing countries such as Vietnam which is the focus of this study, wage work is marginal and the approach to </w:t>
      </w:r>
      <w:proofErr w:type="spellStart"/>
      <w:r w:rsidRPr="00573EEE">
        <w:rPr>
          <w:rFonts w:eastAsia="Times New Roman"/>
        </w:rPr>
        <w:t>labour</w:t>
      </w:r>
      <w:proofErr w:type="spellEnd"/>
      <w:r w:rsidRPr="00573EEE">
        <w:rPr>
          <w:rFonts w:eastAsia="Times New Roman"/>
        </w:rPr>
        <w:t xml:space="preserve"> market segmentation is necessarily slightly different. Indeed, most workers are engaged in the informal economy and many of them are self-employed in their own household business. Starting with an analysis of the main characteristics of the national </w:t>
      </w:r>
      <w:proofErr w:type="spellStart"/>
      <w:r w:rsidRPr="00573EEE">
        <w:rPr>
          <w:rFonts w:eastAsia="Times New Roman"/>
        </w:rPr>
        <w:t>labour</w:t>
      </w:r>
      <w:proofErr w:type="spellEnd"/>
      <w:r w:rsidRPr="00573EEE">
        <w:rPr>
          <w:rFonts w:eastAsia="Times New Roman"/>
        </w:rPr>
        <w:t xml:space="preserve"> market, this paper presents a survey of the literature on informality and </w:t>
      </w:r>
      <w:proofErr w:type="spellStart"/>
      <w:r w:rsidRPr="00573EEE">
        <w:rPr>
          <w:rFonts w:eastAsia="Times New Roman"/>
        </w:rPr>
        <w:t>labour</w:t>
      </w:r>
      <w:proofErr w:type="spellEnd"/>
      <w:r w:rsidRPr="00573EEE">
        <w:rPr>
          <w:rFonts w:eastAsia="Times New Roman"/>
        </w:rPr>
        <w:t xml:space="preserve"> market segmentation in Vietnam (section 2). Section 3 describes the institutional background related to firm registration and social protection in Vietnam, and analyses the reasons for informality in relationship with the institutional framework. Section 4 describes the reforms being put in place and employment strategies related to the informal economy. Policy recommendations are proposed in the last section.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0" w:name="m_-1474714270548722956__Toc502846051"/>
      <w:r w:rsidRPr="00573EEE">
        <w:rPr>
          <w:rFonts w:ascii="Calibri" w:eastAsia="Times New Roman" w:hAnsi="Calibri"/>
          <w:b/>
          <w:bCs/>
          <w:color w:val="800000"/>
          <w:sz w:val="22"/>
          <w:szCs w:val="22"/>
        </w:rPr>
        <w:t>Sets of Sustainable Development Indicators in Vietnam: Status and Solutions.</w:t>
      </w:r>
      <w:bookmarkEnd w:id="20"/>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Tri Ngo Dang, Chi Tran Thuy, Y. Tran Van and Tuan Nguyen Thanh.</w:t>
      </w:r>
      <w:proofErr w:type="gramEnd"/>
      <w:r w:rsidRPr="00573EEE">
        <w:rPr>
          <w:rFonts w:eastAsia="Times New Roman"/>
        </w:rPr>
        <w:t xml:space="preserve"> Economies, 2018, volume 6, number 1, p. 1.</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5" w:tgtFrame="_blank" w:history="1">
        <w:r w:rsidRPr="00573EEE">
          <w:rPr>
            <w:rFonts w:eastAsia="Times New Roman"/>
            <w:color w:val="0000FF"/>
            <w:u w:val="single"/>
          </w:rPr>
          <w:t>http://www.mdpi.com/2227-7099/6/1/1</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There are some sets of sustainable development indicators (SDIs) at different regional scales and the Millennium development goals indicators (MDGIs) and Sustainable Development Goals (SDGIs) are employed in Vietnam. Actually, building and applying SDIs have faced different difficulties and this has led to a reduction in their value. Solutions to improve SDIs have been proposed and completed. This paper aims to review the SDIs, MDGIs, and SDGIs in Vietnam and to propose recommendations for building and effectively applying them in practice in Vietnam. Two national SDIs, one regional SDI, one local SDI, and some provincial SDIs, in addition to the results of MDGIs/SDGIs implementation, were analyzed. The common limitation of Government promulgated SDIs was found to not be feasible as they are applied in practice. Proposed solutions are building pilot SDIs for specific regions in Vietnam based on UN guidelines from 2007 and calculating practical values of SDIs for pilot regions, subsequently </w:t>
      </w:r>
      <w:r w:rsidRPr="00573EEE">
        <w:rPr>
          <w:rFonts w:eastAsia="Times New Roman"/>
        </w:rPr>
        <w:lastRenderedPageBreak/>
        <w:t>recommending relevant authorities in Vietnam to change or adjust promulgated SDIs. The experiences of procedure used to develop the pilot SDIs and effective handing over the usage of SDIs to stakeholders should also be considered when developing the sustainable development goals indicators in the future.</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1" w:name="m_-1474714270548722956__Toc502846052"/>
      <w:proofErr w:type="gramStart"/>
      <w:r w:rsidRPr="00573EEE">
        <w:rPr>
          <w:rFonts w:ascii="Calibri" w:eastAsia="Times New Roman" w:hAnsi="Calibri"/>
          <w:b/>
          <w:bCs/>
          <w:color w:val="800000"/>
          <w:sz w:val="22"/>
          <w:szCs w:val="22"/>
        </w:rPr>
        <w:t>Evaluating the Impact of Factors on the Shift of Economic Structure in Vietnam.</w:t>
      </w:r>
      <w:bookmarkEnd w:id="21"/>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Huong </w:t>
      </w:r>
      <w:proofErr w:type="spellStart"/>
      <w:r w:rsidRPr="00573EEE">
        <w:rPr>
          <w:rFonts w:eastAsia="Times New Roman"/>
        </w:rPr>
        <w:t>Thi</w:t>
      </w:r>
      <w:proofErr w:type="spellEnd"/>
      <w:r w:rsidRPr="00573EEE">
        <w:rPr>
          <w:rFonts w:eastAsia="Times New Roman"/>
        </w:rPr>
        <w:t xml:space="preserve"> Thanh Tran and </w:t>
      </w:r>
      <w:proofErr w:type="spellStart"/>
      <w:r w:rsidRPr="00573EEE">
        <w:rPr>
          <w:rFonts w:eastAsia="Times New Roman"/>
        </w:rPr>
        <w:t>Huyen</w:t>
      </w:r>
      <w:proofErr w:type="spellEnd"/>
      <w:r w:rsidRPr="00573EEE">
        <w:rPr>
          <w:rFonts w:eastAsia="Times New Roman"/>
        </w:rPr>
        <w:t xml:space="preserve"> Thanh Hoang.</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Econometrics for Financial Applications, Springer International Publishing, Cham, 2018, pp. 1046-1060.</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For the economic development goals of Vietnam by 2020, the economic structure is moving towards increasing the proportion of construction industry group and service group, and gradually reducing the share of agriculture group in GDP. Accordingly, the shift of the economic structure leading to the contribution of sectors to the output of GDP has also changed. In this paper, the authors examine the impact of factors on the shift of economic structure in Vietnam. Quantifying the impact of factors that affect the shift of economic structure is also measuring the positive impacts on the increase of VA proportion of construction industry group and service group in GDP. Our findings indicated that labor proportion and labor productivity of construction industry and service group have strongly positive impact on the VA share of non-agricultural sector and an increase in labor proportion of service group will have a greater impact on the shift of economic structure.</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2" w:name="m_-1474714270548722956__Toc502846053"/>
      <w:proofErr w:type="gramStart"/>
      <w:r w:rsidRPr="00573EEE">
        <w:rPr>
          <w:rFonts w:ascii="Calibri" w:eastAsia="Times New Roman" w:hAnsi="Calibri"/>
          <w:b/>
          <w:bCs/>
          <w:color w:val="800000"/>
          <w:sz w:val="22"/>
          <w:szCs w:val="22"/>
        </w:rPr>
        <w:t>Explaining micro entrepreneurship in rural Vietnam-a multilevel analysis.</w:t>
      </w:r>
      <w:bookmarkEnd w:id="22"/>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Franziska </w:t>
      </w:r>
      <w:proofErr w:type="spellStart"/>
      <w:r w:rsidRPr="00573EEE">
        <w:rPr>
          <w:rFonts w:eastAsia="Times New Roman"/>
        </w:rPr>
        <w:t>Sohns</w:t>
      </w:r>
      <w:proofErr w:type="spellEnd"/>
      <w:r w:rsidRPr="00573EEE">
        <w:rPr>
          <w:rFonts w:eastAsia="Times New Roman"/>
        </w:rPr>
        <w:t xml:space="preserve"> and Javier Revilla </w:t>
      </w:r>
      <w:proofErr w:type="spellStart"/>
      <w:r w:rsidRPr="00573EEE">
        <w:rPr>
          <w:rFonts w:eastAsia="Times New Roman"/>
        </w:rPr>
        <w:t>Diez</w:t>
      </w:r>
      <w:proofErr w:type="spellEnd"/>
      <w:r w:rsidRPr="00573EEE">
        <w:rPr>
          <w:rFonts w:eastAsia="Times New Roman"/>
        </w:rPr>
        <w:t>.</w:t>
      </w:r>
      <w:proofErr w:type="gramEnd"/>
      <w:r w:rsidRPr="00573EEE">
        <w:rPr>
          <w:rFonts w:eastAsia="Times New Roman"/>
        </w:rPr>
        <w:t xml:space="preserve"> Small Business Economics, 2017, volume 50, number 1.</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In the literature on entrepreneurship, there is an ongoing debate about the impact of regional factors on the entrepreneurial process. To date, most of the empirical work on the influence of regional characteristics on entrepreneurship has focused on developed countries, while empirical work that analyses the regional determinants of micro entrepreneurship in rural areas of emerging markets remains scare. This paper uses three-level binary-logistic random intercept models to </w:t>
      </w:r>
      <w:proofErr w:type="spellStart"/>
      <w:r w:rsidRPr="00573EEE">
        <w:rPr>
          <w:rFonts w:eastAsia="Times New Roman"/>
        </w:rPr>
        <w:t>analyse</w:t>
      </w:r>
      <w:proofErr w:type="spellEnd"/>
      <w:r w:rsidRPr="00573EEE">
        <w:rPr>
          <w:rFonts w:eastAsia="Times New Roman"/>
        </w:rPr>
        <w:t xml:space="preserve"> the effects of explanatory factors at different levels on micro entrepreneurship in rural Vietnam. Our analyses show that identifying the motivation behind </w:t>
      </w:r>
      <w:r w:rsidRPr="00573EEE">
        <w:rPr>
          <w:rFonts w:eastAsia="Times New Roman"/>
        </w:rPr>
        <w:lastRenderedPageBreak/>
        <w:t>starting a micro enterprise is a good way to split entrepreneurship into two groups: namely opportunity- and necessity-driven entrepreneurship, which are influenced by very different explanatory factors at different levels. We find evidence that in rural areas of emerging markets, the individual level dominates with regard to explaining both opportunity- and necessity-driven entrepreneurship. Nevertheless, the regional level has a significant impact, albeit only on opportunity-driven entrepreneurship.</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3" w:name="m_-1474714270548722956__Toc502846054"/>
      <w:proofErr w:type="gramStart"/>
      <w:r w:rsidRPr="00573EEE">
        <w:rPr>
          <w:rFonts w:ascii="Calibri" w:eastAsia="Times New Roman" w:hAnsi="Calibri"/>
          <w:b/>
          <w:bCs/>
          <w:color w:val="800000"/>
          <w:sz w:val="22"/>
          <w:szCs w:val="22"/>
        </w:rPr>
        <w:t>FDI, Global Value Chains, and Local Sourcing in Developing Countries.</w:t>
      </w:r>
      <w:bookmarkEnd w:id="23"/>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Vito </w:t>
      </w:r>
      <w:proofErr w:type="spellStart"/>
      <w:r w:rsidRPr="00573EEE">
        <w:rPr>
          <w:rFonts w:eastAsia="Times New Roman"/>
        </w:rPr>
        <w:t>Amendolagine</w:t>
      </w:r>
      <w:proofErr w:type="spellEnd"/>
      <w:r w:rsidRPr="00573EEE">
        <w:rPr>
          <w:rFonts w:eastAsia="Times New Roman"/>
        </w:rPr>
        <w:t xml:space="preserve">, Andrea </w:t>
      </w:r>
      <w:proofErr w:type="spellStart"/>
      <w:r w:rsidRPr="00573EEE">
        <w:rPr>
          <w:rFonts w:eastAsia="Times New Roman"/>
        </w:rPr>
        <w:t>Presbitero</w:t>
      </w:r>
      <w:proofErr w:type="spellEnd"/>
      <w:r w:rsidRPr="00573EEE">
        <w:rPr>
          <w:rFonts w:eastAsia="Times New Roman"/>
        </w:rPr>
        <w:t xml:space="preserve">, Roberta </w:t>
      </w:r>
      <w:proofErr w:type="spellStart"/>
      <w:r w:rsidRPr="00573EEE">
        <w:rPr>
          <w:rFonts w:eastAsia="Times New Roman"/>
        </w:rPr>
        <w:t>Rabellotti</w:t>
      </w:r>
      <w:proofErr w:type="spellEnd"/>
      <w:r w:rsidRPr="00573EEE">
        <w:rPr>
          <w:rFonts w:eastAsia="Times New Roman"/>
        </w:rPr>
        <w:t xml:space="preserve">, Marco </w:t>
      </w:r>
      <w:proofErr w:type="spellStart"/>
      <w:r w:rsidRPr="00573EEE">
        <w:rPr>
          <w:rFonts w:eastAsia="Times New Roman"/>
        </w:rPr>
        <w:t>Sanfilippo</w:t>
      </w:r>
      <w:proofErr w:type="spellEnd"/>
      <w:r w:rsidRPr="00573EEE">
        <w:rPr>
          <w:rFonts w:eastAsia="Times New Roman"/>
        </w:rPr>
        <w:t xml:space="preserve"> and Adnan </w:t>
      </w:r>
      <w:proofErr w:type="spellStart"/>
      <w:r w:rsidRPr="00573EEE">
        <w:rPr>
          <w:rFonts w:eastAsia="Times New Roman"/>
        </w:rPr>
        <w:t>Seric</w:t>
      </w:r>
      <w:proofErr w:type="spellEnd"/>
      <w:r w:rsidRPr="00573EEE">
        <w:rPr>
          <w:rFonts w:eastAsia="Times New Roman"/>
        </w:rPr>
        <w:t>.</w:t>
      </w:r>
      <w:proofErr w:type="gramEnd"/>
      <w:r w:rsidRPr="00573EEE">
        <w:rPr>
          <w:rFonts w:eastAsia="Times New Roman"/>
        </w:rPr>
        <w:t xml:space="preserve"> IMF Working Paper No. 17/284, 2017.</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6" w:tgtFrame="_blank" w:history="1">
        <w:r w:rsidRPr="00573EEE">
          <w:rPr>
            <w:rFonts w:eastAsia="Times New Roman"/>
            <w:color w:val="0000FF"/>
            <w:u w:val="single"/>
          </w:rPr>
          <w:t>http://www.imf.org/en/Publications/WP/Issues/2017/12/21/FDI-Global-Value-Chains-and-Local-Sourcing-in-Developing-Countries-45513?cid=em-COM-123-36400</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The local sourcing of intermediate products is one the main channels for foreign direct investment (FDI) spillovers. This paper investigates whether and how participation and positioning in the global value chains (GVCs) of host countries is associated to local sourcing by foreign investors. Matching two firm-level data sets of 19 Sub-Saharan African countries and Vietnam to country-sector level measures of GVC involvement, we find that more intense GVC participation and upstream specialization are associated to a higher share of inputs sourced locally by foreign investors. These effects are larger in countries with stronger rule of law and better education.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4" w:name="m_-1474714270548722956__Toc502846055"/>
      <w:proofErr w:type="spellStart"/>
      <w:proofErr w:type="gramStart"/>
      <w:r w:rsidRPr="00573EEE">
        <w:rPr>
          <w:rFonts w:ascii="Calibri" w:eastAsia="Times New Roman" w:hAnsi="Calibri"/>
          <w:b/>
          <w:bCs/>
          <w:color w:val="800000"/>
          <w:sz w:val="22"/>
          <w:szCs w:val="22"/>
        </w:rPr>
        <w:t>Analysing</w:t>
      </w:r>
      <w:proofErr w:type="spellEnd"/>
      <w:r w:rsidRPr="00573EEE">
        <w:rPr>
          <w:rFonts w:ascii="Calibri" w:eastAsia="Times New Roman" w:hAnsi="Calibri"/>
          <w:b/>
          <w:bCs/>
          <w:color w:val="800000"/>
          <w:sz w:val="22"/>
          <w:szCs w:val="22"/>
        </w:rPr>
        <w:t xml:space="preserve"> the Effects of the Exporting on Economic Growth in Vietnam.</w:t>
      </w:r>
      <w:bookmarkEnd w:id="24"/>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Nguyen Minh Hai, Do </w:t>
      </w:r>
      <w:proofErr w:type="spellStart"/>
      <w:r w:rsidRPr="00573EEE">
        <w:rPr>
          <w:rFonts w:eastAsia="Times New Roman"/>
        </w:rPr>
        <w:t>Huu</w:t>
      </w:r>
      <w:proofErr w:type="spellEnd"/>
      <w:r w:rsidRPr="00573EEE">
        <w:rPr>
          <w:rFonts w:eastAsia="Times New Roman"/>
        </w:rPr>
        <w:t xml:space="preserve"> Hai and Nguyen </w:t>
      </w:r>
      <w:proofErr w:type="spellStart"/>
      <w:r w:rsidRPr="00573EEE">
        <w:rPr>
          <w:rFonts w:eastAsia="Times New Roman"/>
        </w:rPr>
        <w:t>Manh</w:t>
      </w:r>
      <w:proofErr w:type="spellEnd"/>
      <w:r w:rsidRPr="00573EEE">
        <w:rPr>
          <w:rFonts w:eastAsia="Times New Roman"/>
        </w:rPr>
        <w:t xml:space="preserve"> Hung. in: Econometrics for Financial Applications, Springer International Publishing, Cham, 2018, pp. 597-610.</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main objective of this study is to verify the relation between exports and economic growth. At the same time, considering whether export-led economic growth is really the right choice of the Vietnamese economy. The results show that exporting activities of Vietnam in the period 2000–2016 have a positive impact on the ability to maintain the economic growth in the long run. This has supported Vietnam’s export-oriented economic growth in the past time as an </w:t>
      </w:r>
      <w:r w:rsidRPr="00573EEE">
        <w:rPr>
          <w:rFonts w:eastAsia="Times New Roman"/>
        </w:rPr>
        <w:lastRenderedPageBreak/>
        <w:t>appropriate option. Based on the analysis results, the paper proposes some recommendations to promote the positive effects of exports towards the sustainable economic growth.</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5" w:name="m_-1474714270548722956__Toc502846056"/>
      <w:proofErr w:type="gramStart"/>
      <w:r w:rsidRPr="00573EEE">
        <w:rPr>
          <w:rFonts w:ascii="Calibri" w:eastAsia="Times New Roman" w:hAnsi="Calibri"/>
          <w:b/>
          <w:bCs/>
          <w:color w:val="800000"/>
          <w:sz w:val="22"/>
          <w:szCs w:val="22"/>
        </w:rPr>
        <w:t>The Effects of Mega-Regional Trade Agreements on Vietnam.</w:t>
      </w:r>
      <w:bookmarkEnd w:id="25"/>
      <w:proofErr w:type="gramEnd"/>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t>Tomoo</w:t>
      </w:r>
      <w:proofErr w:type="spellEnd"/>
      <w:r w:rsidRPr="00573EEE">
        <w:rPr>
          <w:rFonts w:eastAsia="Times New Roman"/>
        </w:rPr>
        <w:t xml:space="preserve"> Kikuchi, Kensuke </w:t>
      </w:r>
      <w:proofErr w:type="spellStart"/>
      <w:r w:rsidRPr="00573EEE">
        <w:rPr>
          <w:rFonts w:eastAsia="Times New Roman"/>
        </w:rPr>
        <w:t>Yanagida</w:t>
      </w:r>
      <w:proofErr w:type="spellEnd"/>
      <w:r w:rsidRPr="00573EEE">
        <w:rPr>
          <w:rFonts w:eastAsia="Times New Roman"/>
        </w:rPr>
        <w:t xml:space="preserve"> and Huong Vo. Journal of Asian Economics.</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While most studies conclude that Vietnam would have benefited greatly from the now suspended Trans-Pacific Partnership, the country nevertheless stands to gain from participation in other still promising regional frameworks, including the EU-Vietnam Free Trade Agreement, the Comprehensive and Progressive Agreement for Trans-Pacific Partnership, the Regional Comprehensive Economic Partnership, and the Free Trade Area of the Asia-Pacific. This paper analyzes how Vietnam's economy is likely to be affected by these regional frameworks. We apply a static CGE model, incorporating the effects of capital accumulation, labor supply changes, and productivity growth stemming from trade liberalization. We also analyze “middle income trap” scenarios, in which Vietnam's growth factors fall below the full-potential level and draw policy implications.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6" w:name="m_-1474714270548722956__Toc502846057"/>
      <w:proofErr w:type="gramStart"/>
      <w:r w:rsidRPr="00573EEE">
        <w:rPr>
          <w:rFonts w:ascii="Calibri" w:eastAsia="Times New Roman" w:hAnsi="Calibri"/>
          <w:b/>
          <w:bCs/>
          <w:color w:val="800000"/>
          <w:sz w:val="22"/>
          <w:szCs w:val="22"/>
        </w:rPr>
        <w:t>Vulnerability from trade in Vietnam.</w:t>
      </w:r>
      <w:bookmarkEnd w:id="26"/>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Emiliano </w:t>
      </w:r>
      <w:proofErr w:type="spellStart"/>
      <w:r w:rsidRPr="00573EEE">
        <w:rPr>
          <w:rFonts w:eastAsia="Times New Roman"/>
        </w:rPr>
        <w:t>Magrini</w:t>
      </w:r>
      <w:proofErr w:type="spellEnd"/>
      <w:r w:rsidRPr="00573EEE">
        <w:rPr>
          <w:rFonts w:eastAsia="Times New Roman"/>
        </w:rPr>
        <w:t xml:space="preserve">, </w:t>
      </w:r>
      <w:proofErr w:type="spellStart"/>
      <w:r w:rsidRPr="00573EEE">
        <w:rPr>
          <w:rFonts w:eastAsia="Times New Roman"/>
        </w:rPr>
        <w:t>Pierluigi</w:t>
      </w:r>
      <w:proofErr w:type="spellEnd"/>
      <w:r w:rsidRPr="00573EEE">
        <w:rPr>
          <w:rFonts w:eastAsia="Times New Roman"/>
        </w:rPr>
        <w:t xml:space="preserve"> </w:t>
      </w:r>
      <w:proofErr w:type="spellStart"/>
      <w:r w:rsidRPr="00573EEE">
        <w:rPr>
          <w:rFonts w:eastAsia="Times New Roman"/>
        </w:rPr>
        <w:t>Montalbano</w:t>
      </w:r>
      <w:proofErr w:type="spellEnd"/>
      <w:r w:rsidRPr="00573EEE">
        <w:rPr>
          <w:rFonts w:eastAsia="Times New Roman"/>
        </w:rPr>
        <w:t xml:space="preserve"> and L. Alan Winters.</w:t>
      </w:r>
      <w:proofErr w:type="gramEnd"/>
      <w:r w:rsidRPr="00573EEE">
        <w:rPr>
          <w:rFonts w:eastAsia="Times New Roman"/>
        </w:rPr>
        <w:t xml:space="preserve"> </w:t>
      </w:r>
      <w:proofErr w:type="gramStart"/>
      <w:r w:rsidRPr="00573EEE">
        <w:rPr>
          <w:rFonts w:eastAsia="Times New Roman"/>
        </w:rPr>
        <w:t>University of Sussex - Department of Economics - Working Paper Series No. 20-2017,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7" w:tgtFrame="_blank" w:history="1">
        <w:r w:rsidRPr="00573EEE">
          <w:rPr>
            <w:rFonts w:eastAsia="Times New Roman"/>
            <w:color w:val="0000FF"/>
            <w:u w:val="single"/>
          </w:rPr>
          <w:t>https://www.sussex.ac.uk/webteam/gateway/file.php?name=wps-20-2017.pdf&amp;site=24</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paper assesses vulnerability from trade in Vietnam by presenting an extended version of </w:t>
      </w:r>
      <w:proofErr w:type="spellStart"/>
      <w:r w:rsidRPr="00573EEE">
        <w:rPr>
          <w:rFonts w:eastAsia="Times New Roman"/>
        </w:rPr>
        <w:t>Ligon</w:t>
      </w:r>
      <w:proofErr w:type="spellEnd"/>
      <w:r w:rsidRPr="00573EEE">
        <w:rPr>
          <w:rFonts w:eastAsia="Times New Roman"/>
        </w:rPr>
        <w:t xml:space="preserve"> and Schechter’s (2003) Vulnerability as low Expected Utility (VEU) measure. It uses the VHLSS panel data covering the period 2002-06. The empirical results show that risk-induced vulnerability and heterogeneity in trade exposure matters in determining household overall vulnerability and that this is not linked to the actual manifestation of shocks. Although it does not represent, by any means, an argument against free trade, this work is relevant for policymaking since it contributes to deepen our knowledge on the subtle links between trade openness and vulnerability providing some insight on the </w:t>
      </w:r>
      <w:proofErr w:type="spellStart"/>
      <w:r w:rsidRPr="00573EEE">
        <w:rPr>
          <w:rFonts w:eastAsia="Times New Roman"/>
        </w:rPr>
        <w:t>stabilisation</w:t>
      </w:r>
      <w:proofErr w:type="spellEnd"/>
      <w:r w:rsidRPr="00573EEE">
        <w:rPr>
          <w:rFonts w:eastAsia="Times New Roman"/>
        </w:rPr>
        <w:t xml:space="preserve"> needs of trade reforms. </w:t>
      </w:r>
      <w:r w:rsidRPr="00573EEE">
        <w:rPr>
          <w:rFonts w:eastAsia="Times New Roman"/>
        </w:rPr>
        <w:lastRenderedPageBreak/>
        <w:t>These include protecting vulnerable farmers from excessive price volatility, as well as fostering their risk management strategies.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7" w:name="m_-1474714270548722956__Toc502846058"/>
      <w:r w:rsidRPr="00573EEE">
        <w:rPr>
          <w:rFonts w:ascii="Calibri" w:eastAsia="Times New Roman" w:hAnsi="Calibri"/>
          <w:b/>
          <w:bCs/>
          <w:color w:val="800000"/>
          <w:sz w:val="22"/>
          <w:szCs w:val="22"/>
        </w:rPr>
        <w:t>Services Liberalization in Vietnam: The Case of FDI in Logistics Sector.</w:t>
      </w:r>
      <w:bookmarkEnd w:id="27"/>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Nguyen Anh Thu, Vu Thanh Huong and Nguyen </w:t>
      </w:r>
      <w:proofErr w:type="spellStart"/>
      <w:r w:rsidRPr="00573EEE">
        <w:rPr>
          <w:rFonts w:eastAsia="Times New Roman"/>
        </w:rPr>
        <w:t>Thi</w:t>
      </w:r>
      <w:proofErr w:type="spellEnd"/>
      <w:r w:rsidRPr="00573EEE">
        <w:rPr>
          <w:rFonts w:eastAsia="Times New Roman"/>
        </w:rPr>
        <w:t xml:space="preserve"> Minh Phuong.</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xml:space="preserve">: Services Liberalization in ASEAN: Foreign Direct Investment in Logistics, ISEAS – </w:t>
      </w:r>
      <w:proofErr w:type="spellStart"/>
      <w:r w:rsidRPr="00573EEE">
        <w:rPr>
          <w:rFonts w:eastAsia="Times New Roman"/>
        </w:rPr>
        <w:t>Yusof</w:t>
      </w:r>
      <w:proofErr w:type="spellEnd"/>
      <w:r w:rsidRPr="00573EEE">
        <w:rPr>
          <w:rFonts w:eastAsia="Times New Roman"/>
        </w:rPr>
        <w:t xml:space="preserve"> </w:t>
      </w:r>
      <w:proofErr w:type="spellStart"/>
      <w:r w:rsidRPr="00573EEE">
        <w:rPr>
          <w:rFonts w:eastAsia="Times New Roman"/>
        </w:rPr>
        <w:t>Ishak</w:t>
      </w:r>
      <w:proofErr w:type="spellEnd"/>
      <w:r w:rsidRPr="00573EEE">
        <w:rPr>
          <w:rFonts w:eastAsia="Times New Roman"/>
        </w:rPr>
        <w:t xml:space="preserve"> Institute, 2017.</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The services sector plays an important role in ASEAN economies as it accounts for about half of the regions GDP and more than 45 per cent of its total employment. ASEAN aspires to deepen integration in the services sector in order to enhance the sectors contribution to economic development and growth in each country. Despite this, services liberalization has progressed slowly compared to goods liberalization both at the multilateral and the regional levels. Different regulatory mechanisms across countries have contributed to the slow pace of liberalization.  --- Logistics is an important industry in the services sector. The integration of logistics is important for deepening economic integration in ASEAN as it facilitates the movement of goods, services and people within and across countries, among producers and from producers to consumers. In view of its importance, ASEAN has identified logistics as one of its priority integration sectors. It has also developed a Connectivity Master Plan and a Strategic Transport Plan, where logistics plays an important role. --- This book examines the current state of services liberalization in the ten ASEAN economies. It also assesses the FDI enabling environment and the extent of FDI liberalization in the logistics sector as well as the liberalization challenges encountered in each of the ASEAN economies. The book, thus, provides a comparative picture of services liberalization as well as the state of logistics liberalization and development in each of the ten ASEAN member countries. All these have important bearings on deepening ASEAN economic integration for 2025 and beyond.</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28" w:name="m_-1474714270548722956__Toc502846059"/>
      <w:r w:rsidRPr="00573EEE">
        <w:rPr>
          <w:rFonts w:eastAsia="Times New Roman"/>
          <w:b/>
          <w:bCs/>
          <w:kern w:val="36"/>
          <w:sz w:val="48"/>
          <w:szCs w:val="48"/>
          <w:shd w:val="clear" w:color="auto" w:fill="D3D3D3"/>
        </w:rPr>
        <w:t>Education</w:t>
      </w:r>
      <w:bookmarkEnd w:id="28"/>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29" w:name="m_-1474714270548722956__Toc502846060"/>
      <w:r w:rsidRPr="00573EEE">
        <w:rPr>
          <w:rFonts w:ascii="Calibri" w:eastAsia="Times New Roman" w:hAnsi="Calibri"/>
          <w:b/>
          <w:bCs/>
          <w:color w:val="800000"/>
          <w:sz w:val="22"/>
          <w:szCs w:val="22"/>
        </w:rPr>
        <w:t>Education and transition to work: Evidence from Vietnam, Cambodia and Nepal.</w:t>
      </w:r>
      <w:bookmarkEnd w:id="29"/>
    </w:p>
    <w:p w:rsidR="00573EEE" w:rsidRPr="00573EEE" w:rsidRDefault="00573EEE" w:rsidP="00573EEE">
      <w:pPr>
        <w:spacing w:before="100" w:beforeAutospacing="1" w:after="100" w:afterAutospacing="1"/>
        <w:rPr>
          <w:rFonts w:eastAsia="Times New Roman"/>
        </w:rPr>
      </w:pPr>
      <w:proofErr w:type="spellStart"/>
      <w:r w:rsidRPr="00573EEE">
        <w:rPr>
          <w:rFonts w:eastAsia="Times New Roman"/>
        </w:rPr>
        <w:t>Shuang</w:t>
      </w:r>
      <w:proofErr w:type="spellEnd"/>
      <w:r w:rsidRPr="00573EEE">
        <w:rPr>
          <w:rFonts w:eastAsia="Times New Roman"/>
        </w:rPr>
        <w:t xml:space="preserve"> Chen. International Journal of Educational Development, 2018, volume 61, pp. 92-105.</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Against the background of education expansion and economic transformations, little is known about how education shapes the transition to work in developing countries. Drawing on the cases of Vietnam, Cambodia and Nepal, this study examines the association between education and the timing and quality of transition to work. In Vietnam and Cambodia, school enrolment delays the transition to first paid employment, but upon leaving school, higher education attainment is associated with faster rate of transition. The education gradient is even stronger in probabilities and rates of transition to first stable, long-term employment. In Nepal, school enrolment does not preclude transition to paid employment, and the relation between education attainment and transition to work differs significantly by gender.</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0" w:name="m_-1474714270548722956__Toc502846061"/>
      <w:proofErr w:type="gramStart"/>
      <w:r w:rsidRPr="00573EEE">
        <w:rPr>
          <w:rFonts w:ascii="Calibri" w:eastAsia="Times New Roman" w:hAnsi="Calibri"/>
          <w:b/>
          <w:bCs/>
          <w:color w:val="800000"/>
          <w:sz w:val="22"/>
          <w:szCs w:val="22"/>
        </w:rPr>
        <w:t>Enhancing graduate work-readiness in Vietnam.</w:t>
      </w:r>
      <w:bookmarkEnd w:id="30"/>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Nguyen </w:t>
      </w:r>
      <w:proofErr w:type="spellStart"/>
      <w:r w:rsidRPr="00573EEE">
        <w:rPr>
          <w:rFonts w:eastAsia="Times New Roman"/>
        </w:rPr>
        <w:t>Danh</w:t>
      </w:r>
      <w:proofErr w:type="spellEnd"/>
      <w:r w:rsidRPr="00573EEE">
        <w:rPr>
          <w:rFonts w:eastAsia="Times New Roman"/>
        </w:rPr>
        <w:t xml:space="preserve"> Nguyen and Nguyen Ba Ngoc.</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Transitions from Education to Work: Workforce Ready Challenges in the Asia Pacific, Routledge, 2018.</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chapter explores the current situation of the Vietnamese </w:t>
      </w:r>
      <w:proofErr w:type="spellStart"/>
      <w:r w:rsidRPr="00573EEE">
        <w:rPr>
          <w:rFonts w:eastAsia="Times New Roman"/>
        </w:rPr>
        <w:t>labour</w:t>
      </w:r>
      <w:proofErr w:type="spellEnd"/>
      <w:r w:rsidRPr="00573EEE">
        <w:rPr>
          <w:rFonts w:eastAsia="Times New Roman"/>
        </w:rPr>
        <w:t xml:space="preserve"> market with both its advantages and disadvantages. It also discusses the characteristics of the Vietnamese </w:t>
      </w:r>
      <w:proofErr w:type="spellStart"/>
      <w:r w:rsidRPr="00573EEE">
        <w:rPr>
          <w:rFonts w:eastAsia="Times New Roman"/>
        </w:rPr>
        <w:t>labour</w:t>
      </w:r>
      <w:proofErr w:type="spellEnd"/>
      <w:r w:rsidRPr="00573EEE">
        <w:rPr>
          <w:rFonts w:eastAsia="Times New Roman"/>
        </w:rPr>
        <w:t xml:space="preserve"> market and presents the government frameworks for the education system. The challenges of graduate work-readiness are also explained to explore how employers and educational institutions cope with such challenges. Through a series the case studies, the graduate work-readiness situations are considered in greater depth.</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1" w:name="m_-1474714270548722956__Toc502846062"/>
      <w:r w:rsidRPr="00573EEE">
        <w:rPr>
          <w:rFonts w:ascii="Calibri" w:eastAsia="Times New Roman" w:hAnsi="Calibri"/>
          <w:b/>
          <w:bCs/>
          <w:color w:val="800000"/>
          <w:sz w:val="22"/>
          <w:szCs w:val="22"/>
        </w:rPr>
        <w:t>Profit and prejudice: a critique of private English language education in Vietnam.</w:t>
      </w:r>
      <w:bookmarkEnd w:id="31"/>
    </w:p>
    <w:p w:rsidR="00573EEE" w:rsidRPr="00573EEE" w:rsidRDefault="00573EEE" w:rsidP="00573EEE">
      <w:pPr>
        <w:spacing w:before="100" w:beforeAutospacing="1" w:after="100" w:afterAutospacing="1"/>
        <w:rPr>
          <w:rFonts w:eastAsia="Times New Roman"/>
        </w:rPr>
      </w:pPr>
      <w:r w:rsidRPr="00573EEE">
        <w:rPr>
          <w:rFonts w:eastAsia="Times New Roman"/>
        </w:rPr>
        <w:t>Dominic Hewson. British Journal of Sociology of Education, 2017, pp. 1-16.</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It is 30 years since Vietnam implemented </w:t>
      </w:r>
      <w:proofErr w:type="gramStart"/>
      <w:r w:rsidRPr="00573EEE">
        <w:rPr>
          <w:rFonts w:eastAsia="Times New Roman"/>
        </w:rPr>
        <w:t>the ?</w:t>
      </w:r>
      <w:proofErr w:type="spellStart"/>
      <w:r w:rsidRPr="00573EEE">
        <w:rPr>
          <w:rFonts w:eastAsia="Times New Roman"/>
        </w:rPr>
        <w:t>Doi</w:t>
      </w:r>
      <w:proofErr w:type="spellEnd"/>
      <w:proofErr w:type="gramEnd"/>
      <w:r w:rsidRPr="00573EEE">
        <w:rPr>
          <w:rFonts w:eastAsia="Times New Roman"/>
        </w:rPr>
        <w:t xml:space="preserve"> </w:t>
      </w:r>
      <w:proofErr w:type="spellStart"/>
      <w:r w:rsidRPr="00573EEE">
        <w:rPr>
          <w:rFonts w:eastAsia="Times New Roman"/>
        </w:rPr>
        <w:t>Moi</w:t>
      </w:r>
      <w:proofErr w:type="spellEnd"/>
      <w:r w:rsidRPr="00573EEE">
        <w:rPr>
          <w:rFonts w:eastAsia="Times New Roman"/>
        </w:rPr>
        <w:t xml:space="preserve">? </w:t>
      </w:r>
      <w:proofErr w:type="gramStart"/>
      <w:r w:rsidRPr="00573EEE">
        <w:rPr>
          <w:rFonts w:eastAsia="Times New Roman"/>
        </w:rPr>
        <w:t>economic</w:t>
      </w:r>
      <w:proofErr w:type="gramEnd"/>
      <w:r w:rsidRPr="00573EEE">
        <w:rPr>
          <w:rFonts w:eastAsia="Times New Roman"/>
        </w:rPr>
        <w:t xml:space="preserve"> reforms. The subsequent influx of capital was accompanied by a general infiltration of foreign influences, arguably none more important than the English language. This article focuses on an area where market and language converge: the private English as a second language industry. Drawing upon the ideas of Pierre Bourdieu, the article </w:t>
      </w:r>
      <w:proofErr w:type="spellStart"/>
      <w:r w:rsidRPr="00573EEE">
        <w:rPr>
          <w:rFonts w:eastAsia="Times New Roman"/>
        </w:rPr>
        <w:t>utilises</w:t>
      </w:r>
      <w:proofErr w:type="spellEnd"/>
      <w:r w:rsidRPr="00573EEE">
        <w:rPr>
          <w:rFonts w:eastAsia="Times New Roman"/>
        </w:rPr>
        <w:t xml:space="preserve"> the experiences of teachers to examine industry practices, with particular emphasis on the consequences of education commodification. The </w:t>
      </w:r>
      <w:r w:rsidRPr="00573EEE">
        <w:rPr>
          <w:rFonts w:eastAsia="Times New Roman"/>
        </w:rPr>
        <w:lastRenderedPageBreak/>
        <w:t>article locates its findings within the wider contexts of Vietnamese education, economy and the global propagation of the English language and market ideals. These findings depict a profit-driven industry where the customer always being right is not always right for the customer.</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               </w:t>
      </w:r>
      <w:hyperlink r:id="rId18" w:anchor="m_-1474714270548722956__top" w:history="1">
        <w:r w:rsidRPr="00573EEE">
          <w:rPr>
            <w:rFonts w:eastAsia="Times New Roman"/>
            <w:color w:val="0000FF"/>
            <w:u w:val="single"/>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32" w:name="m_-1474714270548722956__Toc502846063"/>
      <w:r w:rsidRPr="00573EEE">
        <w:rPr>
          <w:rFonts w:eastAsia="Times New Roman"/>
          <w:b/>
          <w:bCs/>
          <w:kern w:val="36"/>
          <w:sz w:val="48"/>
          <w:szCs w:val="48"/>
          <w:shd w:val="clear" w:color="auto" w:fill="D3D3D3"/>
        </w:rPr>
        <w:t>Environment</w:t>
      </w:r>
      <w:bookmarkEnd w:id="32"/>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3" w:name="m_-1474714270548722956__Toc502846064"/>
      <w:proofErr w:type="gramStart"/>
      <w:r w:rsidRPr="00573EEE">
        <w:rPr>
          <w:rFonts w:ascii="Calibri" w:eastAsia="Times New Roman" w:hAnsi="Calibri"/>
          <w:b/>
          <w:bCs/>
          <w:color w:val="800000"/>
          <w:sz w:val="22"/>
          <w:szCs w:val="22"/>
        </w:rPr>
        <w:t>Conservation of the Mekong Delta wetlands through hydrological management.</w:t>
      </w:r>
      <w:bookmarkEnd w:id="33"/>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Nguyen Hong </w:t>
      </w:r>
      <w:proofErr w:type="spellStart"/>
      <w:r w:rsidRPr="00573EEE">
        <w:rPr>
          <w:rFonts w:eastAsia="Times New Roman"/>
        </w:rPr>
        <w:t>Quan</w:t>
      </w:r>
      <w:proofErr w:type="spellEnd"/>
      <w:r w:rsidRPr="00573EEE">
        <w:rPr>
          <w:rFonts w:eastAsia="Times New Roman"/>
        </w:rPr>
        <w:t xml:space="preserve">, To </w:t>
      </w:r>
      <w:proofErr w:type="spellStart"/>
      <w:r w:rsidRPr="00573EEE">
        <w:rPr>
          <w:rFonts w:eastAsia="Times New Roman"/>
        </w:rPr>
        <w:t>Quang</w:t>
      </w:r>
      <w:proofErr w:type="spellEnd"/>
      <w:r w:rsidRPr="00573EEE">
        <w:rPr>
          <w:rFonts w:eastAsia="Times New Roman"/>
        </w:rPr>
        <w:t xml:space="preserve"> </w:t>
      </w:r>
      <w:proofErr w:type="spellStart"/>
      <w:r w:rsidRPr="00573EEE">
        <w:rPr>
          <w:rFonts w:eastAsia="Times New Roman"/>
        </w:rPr>
        <w:t>Toan</w:t>
      </w:r>
      <w:proofErr w:type="spellEnd"/>
      <w:r w:rsidRPr="00573EEE">
        <w:rPr>
          <w:rFonts w:eastAsia="Times New Roman"/>
        </w:rPr>
        <w:t xml:space="preserve">, Phan Doan Dang, Nguyen </w:t>
      </w:r>
      <w:proofErr w:type="spellStart"/>
      <w:r w:rsidRPr="00573EEE">
        <w:rPr>
          <w:rFonts w:eastAsia="Times New Roman"/>
        </w:rPr>
        <w:t>Luu</w:t>
      </w:r>
      <w:proofErr w:type="spellEnd"/>
      <w:r w:rsidRPr="00573EEE">
        <w:rPr>
          <w:rFonts w:eastAsia="Times New Roman"/>
        </w:rPr>
        <w:t xml:space="preserve"> Phuong, Tran </w:t>
      </w:r>
      <w:proofErr w:type="spellStart"/>
      <w:r w:rsidRPr="00573EEE">
        <w:rPr>
          <w:rFonts w:eastAsia="Times New Roman"/>
        </w:rPr>
        <w:t>Thi</w:t>
      </w:r>
      <w:proofErr w:type="spellEnd"/>
      <w:r w:rsidRPr="00573EEE">
        <w:rPr>
          <w:rFonts w:eastAsia="Times New Roman"/>
        </w:rPr>
        <w:t xml:space="preserve"> Hoang Anh and others. </w:t>
      </w:r>
      <w:proofErr w:type="gramStart"/>
      <w:r w:rsidRPr="00573EEE">
        <w:rPr>
          <w:rFonts w:eastAsia="Times New Roman"/>
        </w:rPr>
        <w:t>Ecological Research,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Vietnamese Mekong Delta (VMD) comprises extensive river and canal networks, both natural and man-made, and has a history of extensive land use change and development. The delta’s wetlands are under considerable ecological stress because of hydrological changes, agricultural and aquaculture development, urban and industrial pollution, climate change, and upstream water resource development. In this paper, we review the current threats and challenges to the conservation and management of the wetlands in the VMD. We recommend that the current water management practices of the </w:t>
      </w:r>
      <w:proofErr w:type="spellStart"/>
      <w:r w:rsidRPr="00573EEE">
        <w:rPr>
          <w:rFonts w:eastAsia="Times New Roman"/>
        </w:rPr>
        <w:t>Ramsar</w:t>
      </w:r>
      <w:proofErr w:type="spellEnd"/>
      <w:r w:rsidRPr="00573EEE">
        <w:rPr>
          <w:rFonts w:eastAsia="Times New Roman"/>
        </w:rPr>
        <w:t>-listed Lang Sen Wetland Reserve are changed so that the natural flood regimes are reinstated and the risks to the community from forest fires are managed. Ongoing investment is needed to support further research, set up long-term monitoring, and to develop hydrodynamic models for the Lang Sen Wetland Reserve so that management and conservation efforts can achieve the specific objectives for the wetland. This approach may be useful for managing other wetlands across the VMD.</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4" w:name="m_-1474714270548722956__Toc502846065"/>
      <w:r w:rsidRPr="00573EEE">
        <w:rPr>
          <w:rFonts w:ascii="Calibri" w:eastAsia="Times New Roman" w:hAnsi="Calibri"/>
          <w:b/>
          <w:bCs/>
          <w:color w:val="800000"/>
          <w:sz w:val="22"/>
          <w:szCs w:val="22"/>
        </w:rPr>
        <w:t>Toward successful implementation of conservation research: A case study from Vietnam.</w:t>
      </w:r>
      <w:bookmarkEnd w:id="34"/>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Huong Do </w:t>
      </w:r>
      <w:proofErr w:type="spellStart"/>
      <w:r w:rsidRPr="00573EEE">
        <w:rPr>
          <w:rFonts w:eastAsia="Times New Roman"/>
        </w:rPr>
        <w:t>Thi</w:t>
      </w:r>
      <w:proofErr w:type="spellEnd"/>
      <w:r w:rsidRPr="00573EEE">
        <w:rPr>
          <w:rFonts w:eastAsia="Times New Roman"/>
        </w:rPr>
        <w:t xml:space="preserve">, Max </w:t>
      </w:r>
      <w:proofErr w:type="spellStart"/>
      <w:r w:rsidRPr="00573EEE">
        <w:rPr>
          <w:rFonts w:eastAsia="Times New Roman"/>
        </w:rPr>
        <w:t>Krott</w:t>
      </w:r>
      <w:proofErr w:type="spellEnd"/>
      <w:r w:rsidRPr="00573EEE">
        <w:rPr>
          <w:rFonts w:eastAsia="Times New Roman"/>
        </w:rPr>
        <w:t xml:space="preserve">, Michael </w:t>
      </w:r>
      <w:proofErr w:type="spellStart"/>
      <w:r w:rsidRPr="00573EEE">
        <w:rPr>
          <w:rFonts w:eastAsia="Times New Roman"/>
        </w:rPr>
        <w:t>Bocher</w:t>
      </w:r>
      <w:proofErr w:type="spellEnd"/>
      <w:r w:rsidRPr="00573EEE">
        <w:rPr>
          <w:rFonts w:eastAsia="Times New Roman"/>
        </w:rPr>
        <w:t xml:space="preserve"> and Nataly </w:t>
      </w:r>
      <w:proofErr w:type="spellStart"/>
      <w:r w:rsidRPr="00573EEE">
        <w:rPr>
          <w:rFonts w:eastAsia="Times New Roman"/>
        </w:rPr>
        <w:t>Juerges</w:t>
      </w:r>
      <w:proofErr w:type="spellEnd"/>
      <w:r w:rsidRPr="00573EEE">
        <w:rPr>
          <w:rFonts w:eastAsia="Times New Roman"/>
        </w:rPr>
        <w:t xml:space="preserve">. </w:t>
      </w:r>
      <w:proofErr w:type="spellStart"/>
      <w:proofErr w:type="gramStart"/>
      <w:r w:rsidRPr="00573EEE">
        <w:rPr>
          <w:rFonts w:eastAsia="Times New Roman"/>
        </w:rPr>
        <w:t>Ambio</w:t>
      </w:r>
      <w:proofErr w:type="spellEnd"/>
      <w:r w:rsidRPr="00573EEE">
        <w:rPr>
          <w:rFonts w:eastAsia="Times New Roman"/>
        </w:rPr>
        <w:t>,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A number of different approaches have been used to explain the successes and failures of biodiversity conservation strategies in developing countries. However, to date, little attention has been paid toward assessing the influence of knowledge transfer between science, policy, and </w:t>
      </w:r>
      <w:r w:rsidRPr="00573EEE">
        <w:rPr>
          <w:rFonts w:eastAsia="Times New Roman"/>
        </w:rPr>
        <w:lastRenderedPageBreak/>
        <w:t>conservation practices in the implementation of these strategies. Vietnam's Pu Luong Cuc Phuong Conservation Area is a globally important ecosystem, situated within a limestone landscape and inhabited by hundreds of local communities. Biodiversity conservation has become an important part of sustainable development in this area. This study analyzes three conservation strategies employed in the Pu Luong Cuc Phuong Conservation Area by applying the Research-Integration-Utilization (RIU) model of scientific knowledge transfer. Our analyses reveal weaknesses in scientific knowledge transfer arising from low-quality research and poor integration strategies. Based on our results, we developed recommendations to improve research and integration in an effort to enhance science-based policy support.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5" w:name="m_-1474714270548722956__Toc502846066"/>
      <w:r w:rsidRPr="00573EEE">
        <w:rPr>
          <w:rFonts w:ascii="Calibri" w:eastAsia="Times New Roman" w:hAnsi="Calibri"/>
          <w:b/>
          <w:bCs/>
          <w:color w:val="800000"/>
          <w:sz w:val="22"/>
          <w:szCs w:val="22"/>
        </w:rPr>
        <w:t>Adaptation to Sea Level Rise: A Multidisciplinary Analysis for Ho Chi Minh City, Vietnam.</w:t>
      </w:r>
      <w:bookmarkEnd w:id="35"/>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Paolo </w:t>
      </w:r>
      <w:proofErr w:type="spellStart"/>
      <w:r w:rsidRPr="00573EEE">
        <w:rPr>
          <w:rFonts w:eastAsia="Times New Roman"/>
        </w:rPr>
        <w:t>Scussolini</w:t>
      </w:r>
      <w:proofErr w:type="spellEnd"/>
      <w:r w:rsidRPr="00573EEE">
        <w:rPr>
          <w:rFonts w:eastAsia="Times New Roman"/>
        </w:rPr>
        <w:t xml:space="preserve">, Thu </w:t>
      </w:r>
      <w:proofErr w:type="spellStart"/>
      <w:r w:rsidRPr="00573EEE">
        <w:rPr>
          <w:rFonts w:eastAsia="Times New Roman"/>
        </w:rPr>
        <w:t>Thi</w:t>
      </w:r>
      <w:proofErr w:type="spellEnd"/>
      <w:r w:rsidRPr="00573EEE">
        <w:rPr>
          <w:rFonts w:eastAsia="Times New Roman"/>
        </w:rPr>
        <w:t xml:space="preserve"> Van Tran, </w:t>
      </w:r>
      <w:proofErr w:type="spellStart"/>
      <w:r w:rsidRPr="00573EEE">
        <w:rPr>
          <w:rFonts w:eastAsia="Times New Roman"/>
        </w:rPr>
        <w:t>Elco</w:t>
      </w:r>
      <w:proofErr w:type="spellEnd"/>
      <w:r w:rsidRPr="00573EEE">
        <w:rPr>
          <w:rFonts w:eastAsia="Times New Roman"/>
        </w:rPr>
        <w:t xml:space="preserve"> </w:t>
      </w:r>
      <w:proofErr w:type="spellStart"/>
      <w:r w:rsidRPr="00573EEE">
        <w:rPr>
          <w:rFonts w:eastAsia="Times New Roman"/>
        </w:rPr>
        <w:t>Koks</w:t>
      </w:r>
      <w:proofErr w:type="spellEnd"/>
      <w:r w:rsidRPr="00573EEE">
        <w:rPr>
          <w:rFonts w:eastAsia="Times New Roman"/>
        </w:rPr>
        <w:t>, Andres Diaz-</w:t>
      </w:r>
      <w:proofErr w:type="spellStart"/>
      <w:r w:rsidRPr="00573EEE">
        <w:rPr>
          <w:rFonts w:eastAsia="Times New Roman"/>
        </w:rPr>
        <w:t>Loaiza</w:t>
      </w:r>
      <w:proofErr w:type="spellEnd"/>
      <w:r w:rsidRPr="00573EEE">
        <w:rPr>
          <w:rFonts w:eastAsia="Times New Roman"/>
        </w:rPr>
        <w:t xml:space="preserve">, Phi Long Ho and others. </w:t>
      </w:r>
      <w:proofErr w:type="gramStart"/>
      <w:r w:rsidRPr="00573EEE">
        <w:rPr>
          <w:rFonts w:eastAsia="Times New Roman"/>
        </w:rPr>
        <w:t>Water Resources Research, 2018.</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19" w:tgtFrame="_blank" w:history="1">
        <w:r w:rsidRPr="00573EEE">
          <w:rPr>
            <w:rFonts w:eastAsia="Times New Roman"/>
            <w:color w:val="0000FF"/>
            <w:u w:val="single"/>
          </w:rPr>
          <w:t>http://onlinelibrary.wiley.com/doi/10.1002/2017WR021344/pdf</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One of the most critical impacts of sea level rise is that flooding suffered by ever larger settlements in tropical deltas will increase. Here we look at Ho Chi Minh City, Vietnam, and quantify the threats that coastal floods pose to safety and to the economy. For this, we produce flood maps through hydrodynamic modeling and, by combining these with data sets of exposure and </w:t>
      </w:r>
      <w:proofErr w:type="gramStart"/>
      <w:r w:rsidRPr="00573EEE">
        <w:rPr>
          <w:rFonts w:eastAsia="Times New Roman"/>
        </w:rPr>
        <w:t>vulnerability,</w:t>
      </w:r>
      <w:proofErr w:type="gramEnd"/>
      <w:r w:rsidRPr="00573EEE">
        <w:rPr>
          <w:rFonts w:eastAsia="Times New Roman"/>
        </w:rPr>
        <w:t xml:space="preserve"> we estimate two indicators of risk: the damage to assets and the number of potential casualties. We simulate current and future (2050 and 2100) flood risk using IPCC scenarios of sea level rise and socioeconomic change. We find that annual damage may grow by more than 1 order of magnitude, and potential casualties may grow 5–20-fold until the end of the century, in the absence of adaptation. Impacts depend strongly on the climate and socioeconomic scenarios considered. Next, we simulate the implementation of adaptation measures and calculate their effectiveness in reducing impacts. We find that a ring dike would protect the inner city but increase risk in more rural districts, whereas elevating areas at risk and </w:t>
      </w:r>
      <w:proofErr w:type="spellStart"/>
      <w:r w:rsidRPr="00573EEE">
        <w:rPr>
          <w:rFonts w:eastAsia="Times New Roman"/>
        </w:rPr>
        <w:t>dryproofing</w:t>
      </w:r>
      <w:proofErr w:type="spellEnd"/>
      <w:r w:rsidRPr="00573EEE">
        <w:rPr>
          <w:rFonts w:eastAsia="Times New Roman"/>
        </w:rPr>
        <w:t xml:space="preserve"> buildings will reduce impacts to the city as a whole. Most measures perform well from an economic standpoint. Combinations of measures seem to be the optimal solution and may address potential equity conflicts. Based on our results, we design possible adaptation pathways for Ho Chi Minh City for the coming decades; these can inform policy-making and strategic thinking. </w:t>
      </w:r>
      <w:proofErr w:type="gramStart"/>
      <w:r w:rsidRPr="00573EEE">
        <w:rPr>
          <w:rFonts w:eastAsia="Times New Roman"/>
        </w:rPr>
        <w:t>[Scussolini-etal-2018.pdf].</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6" w:name="m_-1474714270548722956__Toc502846067"/>
      <w:r w:rsidRPr="00573EEE">
        <w:rPr>
          <w:rFonts w:ascii="Calibri" w:eastAsia="Times New Roman" w:hAnsi="Calibri"/>
          <w:b/>
          <w:bCs/>
          <w:color w:val="800000"/>
          <w:sz w:val="22"/>
          <w:szCs w:val="22"/>
        </w:rPr>
        <w:lastRenderedPageBreak/>
        <w:t>Intra-household impacts of climate hazards and autonomous adaptation in selected coastal areas of Vietnam.</w:t>
      </w:r>
      <w:bookmarkEnd w:id="36"/>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Dang Nguyen Viet, Thu Nguyen </w:t>
      </w:r>
      <w:proofErr w:type="spellStart"/>
      <w:r w:rsidRPr="00573EEE">
        <w:rPr>
          <w:rFonts w:eastAsia="Times New Roman"/>
        </w:rPr>
        <w:t>Thi</w:t>
      </w:r>
      <w:proofErr w:type="spellEnd"/>
      <w:r w:rsidRPr="00573EEE">
        <w:rPr>
          <w:rFonts w:eastAsia="Times New Roman"/>
        </w:rPr>
        <w:t xml:space="preserve"> Minh, </w:t>
      </w:r>
      <w:proofErr w:type="spellStart"/>
      <w:r w:rsidRPr="00573EEE">
        <w:rPr>
          <w:rFonts w:eastAsia="Times New Roman"/>
        </w:rPr>
        <w:t>Thiem</w:t>
      </w:r>
      <w:proofErr w:type="spellEnd"/>
      <w:r w:rsidRPr="00573EEE">
        <w:rPr>
          <w:rFonts w:eastAsia="Times New Roman"/>
        </w:rPr>
        <w:t xml:space="preserve"> Nguyen </w:t>
      </w:r>
      <w:proofErr w:type="spellStart"/>
      <w:r w:rsidRPr="00573EEE">
        <w:rPr>
          <w:rFonts w:eastAsia="Times New Roman"/>
        </w:rPr>
        <w:t>Thi</w:t>
      </w:r>
      <w:proofErr w:type="spellEnd"/>
      <w:r w:rsidRPr="00573EEE">
        <w:rPr>
          <w:rFonts w:eastAsia="Times New Roman"/>
        </w:rPr>
        <w:t xml:space="preserve">, Thuy Pham </w:t>
      </w:r>
      <w:proofErr w:type="spellStart"/>
      <w:r w:rsidRPr="00573EEE">
        <w:rPr>
          <w:rFonts w:eastAsia="Times New Roman"/>
        </w:rPr>
        <w:t>Thi</w:t>
      </w:r>
      <w:proofErr w:type="spellEnd"/>
      <w:r w:rsidRPr="00573EEE">
        <w:rPr>
          <w:rFonts w:eastAsia="Times New Roman"/>
        </w:rPr>
        <w:t xml:space="preserve"> Thanh, </w:t>
      </w:r>
      <w:proofErr w:type="spellStart"/>
      <w:r w:rsidRPr="00573EEE">
        <w:rPr>
          <w:rFonts w:eastAsia="Times New Roman"/>
        </w:rPr>
        <w:t>Phong</w:t>
      </w:r>
      <w:proofErr w:type="spellEnd"/>
      <w:r w:rsidRPr="00573EEE">
        <w:rPr>
          <w:rFonts w:eastAsia="Times New Roman"/>
        </w:rPr>
        <w:t xml:space="preserve"> Nguyen Thanh and others. EEPSEA Research Report, 2017, number No.2017-RR18, p. 28 pp.</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0" w:tgtFrame="_blank" w:history="1">
        <w:r w:rsidRPr="00573EEE">
          <w:rPr>
            <w:rFonts w:eastAsia="Times New Roman"/>
            <w:color w:val="0000FF"/>
            <w:u w:val="single"/>
          </w:rPr>
          <w:t>https://www.cabdirect.org/cabdirect/abstract/20173384792</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There is an acknowledged and documented differentiated impact of climate hazards among individual members of the household. The idea that one member may be a dominant decision maker and that increased household resiliency can be achieved if there is equitable decision making, especially between husband and wife, has never been entertained. This study aimed to (1) describe the role of men and women in the decision making on adaptation against various climate hazards in coastal communities; (2) measure the physical and monetary damages incurred by individual members of the household from climate-related hazards; (3) and describe and identify the various adaptation strategies employed by men and/or women for different climate-related hazards. A household survey covering 500 households was administered to answer the key research questions. Findings show that flooding strongly affects the coastal households in the four communes, especially during high tides when </w:t>
      </w:r>
      <w:proofErr w:type="spellStart"/>
      <w:r w:rsidRPr="00573EEE">
        <w:rPr>
          <w:rFonts w:eastAsia="Times New Roman"/>
        </w:rPr>
        <w:t>watergates</w:t>
      </w:r>
      <w:proofErr w:type="spellEnd"/>
      <w:r w:rsidRPr="00573EEE">
        <w:rPr>
          <w:rFonts w:eastAsia="Times New Roman"/>
        </w:rPr>
        <w:t xml:space="preserve"> are closed to prevent saltwater intrusion. Typhoons have affected all of the surveyed households in the four selected communes. Coastal erosion has been severe in </w:t>
      </w:r>
      <w:proofErr w:type="spellStart"/>
      <w:r w:rsidRPr="00573EEE">
        <w:rPr>
          <w:rFonts w:eastAsia="Times New Roman"/>
        </w:rPr>
        <w:t>Giao</w:t>
      </w:r>
      <w:proofErr w:type="spellEnd"/>
      <w:r w:rsidRPr="00573EEE">
        <w:rPr>
          <w:rFonts w:eastAsia="Times New Roman"/>
        </w:rPr>
        <w:t xml:space="preserve"> Long and </w:t>
      </w:r>
      <w:proofErr w:type="spellStart"/>
      <w:r w:rsidRPr="00573EEE">
        <w:rPr>
          <w:rFonts w:eastAsia="Times New Roman"/>
        </w:rPr>
        <w:t>Giao</w:t>
      </w:r>
      <w:proofErr w:type="spellEnd"/>
      <w:r w:rsidRPr="00573EEE">
        <w:rPr>
          <w:rFonts w:eastAsia="Times New Roman"/>
        </w:rPr>
        <w:t xml:space="preserve"> </w:t>
      </w:r>
      <w:proofErr w:type="spellStart"/>
      <w:r w:rsidRPr="00573EEE">
        <w:rPr>
          <w:rFonts w:eastAsia="Times New Roman"/>
        </w:rPr>
        <w:t>Thien</w:t>
      </w:r>
      <w:proofErr w:type="spellEnd"/>
      <w:r w:rsidRPr="00573EEE">
        <w:rPr>
          <w:rFonts w:eastAsia="Times New Roman"/>
        </w:rPr>
        <w:t xml:space="preserve"> communes since these two communes are located at the mouth of the Red River. Saltwater intrusion has caused serious problems to households. It has affected not only the water used for domestic use, but also water for freshwater aquaculture production. A total of 434 of the surveyed households, accounting for 86.8% of the sample, experienced damage or loss to house amounting to an average of VND 6.99 million per household. The impacts were mostly from damaged roofs, kitchen, and boundary walls. Besides, 83% of the total sample experienced losses in agricultural production amounting to an average of VND 5.18 million per household; 8.4% with losses in fishing income averaging VND 10.82 million per household; and more severely, 45.8% of the total sample suffered losses in aquaculture, averaging VND 24.2 million per household. Regarding the gender-differentiated impacts of extreme weather events, women are more affected by extreme weather events than men are in terms of income loss and leisure time. The average income loss for women is at VND 6.53 million, whereas the figure for men is only at VND 5.4 million. The daily decrease in the time spent by women on sleeping (0.77 hours) is higher than that of men (0.55 hours). In examining main household decision makers to cope with climate hazards, men dominate decision making in the event of typhoon/flooding. Women consider their roles important in taking preparation and implementing coping measures both at home and on the field. To cope with saltwater intrusion, men are perceived as the final decision makers by both men (WEI=1.53) and women (WEI=1.76). Storm surge also directly affects agricultural and aquaculture activities; as such, men are also most responsible for adaptation and coping measures addressing this hazard. In order to mitigate negative impacts of climate hazards on the selected coastal communities of Vietnam, there is a need to (1) build up an effective agricultural and fishery insurance service to provide more choices for the local households such that they can cope with and adapt to climate hazards; (2) improve local broadcasting systems to </w:t>
      </w:r>
      <w:r w:rsidRPr="00573EEE">
        <w:rPr>
          <w:rFonts w:eastAsia="Times New Roman"/>
        </w:rPr>
        <w:lastRenderedPageBreak/>
        <w:t>effectively disseminate information on adaptation and coping measures to the local households; and (3) design and implement capacity-building activities specific to men and women corresponding to their decision making roles.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7" w:name="m_-1474714270548722956__Toc502846068"/>
      <w:proofErr w:type="gramStart"/>
      <w:r w:rsidRPr="00573EEE">
        <w:rPr>
          <w:rFonts w:ascii="Calibri" w:eastAsia="Times New Roman" w:hAnsi="Calibri"/>
          <w:b/>
          <w:bCs/>
          <w:color w:val="800000"/>
          <w:sz w:val="22"/>
          <w:szCs w:val="22"/>
        </w:rPr>
        <w:t xml:space="preserve">A </w:t>
      </w:r>
      <w:proofErr w:type="spellStart"/>
      <w:r w:rsidRPr="00573EEE">
        <w:rPr>
          <w:rFonts w:ascii="Calibri" w:eastAsia="Times New Roman" w:hAnsi="Calibri"/>
          <w:b/>
          <w:bCs/>
          <w:color w:val="800000"/>
          <w:sz w:val="22"/>
          <w:szCs w:val="22"/>
        </w:rPr>
        <w:t>Macromarketing</w:t>
      </w:r>
      <w:proofErr w:type="spellEnd"/>
      <w:r w:rsidRPr="00573EEE">
        <w:rPr>
          <w:rFonts w:ascii="Calibri" w:eastAsia="Times New Roman" w:hAnsi="Calibri"/>
          <w:b/>
          <w:bCs/>
          <w:color w:val="800000"/>
          <w:sz w:val="22"/>
          <w:szCs w:val="22"/>
        </w:rPr>
        <w:t xml:space="preserve"> View of Sustainable Development in Vietnam.</w:t>
      </w:r>
      <w:bookmarkEnd w:id="37"/>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Clifford J Shultz and Mark Peterson.</w:t>
      </w:r>
      <w:proofErr w:type="gramEnd"/>
      <w:r w:rsidRPr="00573EEE">
        <w:rPr>
          <w:rFonts w:eastAsia="Times New Roman"/>
        </w:rPr>
        <w:t xml:space="preserve"> Environ Manage, 2017.</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authors apply methods and perspectives from several disciplines to explore the effects of Vietnam's economic development on various ecosystems, to offer a </w:t>
      </w:r>
      <w:proofErr w:type="spellStart"/>
      <w:r w:rsidRPr="00573EEE">
        <w:rPr>
          <w:rFonts w:eastAsia="Times New Roman"/>
        </w:rPr>
        <w:t>macromarketing</w:t>
      </w:r>
      <w:proofErr w:type="spellEnd"/>
      <w:r w:rsidRPr="00573EEE">
        <w:rPr>
          <w:rFonts w:eastAsia="Times New Roman"/>
        </w:rPr>
        <w:t xml:space="preserve"> view of sustainable development in Vietnam. An adapted version of the Sustainable Society Index was used to assess Vietnam's sustainability, how Vietnam's measures compare to other countries, with implications for future sustainable-development. Among several findings, Vietnam earns favorable sustainability ratings in absolute terms for water resources, healthy living, energy use, greenhouse gases, genuine savings, and employment. Ominously, Vietnam and some of its nearby neighbors post poor scores for energy savings and education. Going forward, energy savings, a well-educated population, and a coordinated marketing system will be required to ensure favorable sustainability measures. Drawing on </w:t>
      </w:r>
      <w:proofErr w:type="spellStart"/>
      <w:r w:rsidRPr="00573EEE">
        <w:rPr>
          <w:rFonts w:eastAsia="Times New Roman"/>
        </w:rPr>
        <w:t>macromarketing</w:t>
      </w:r>
      <w:proofErr w:type="spellEnd"/>
      <w:r w:rsidRPr="00573EEE">
        <w:rPr>
          <w:rFonts w:eastAsia="Times New Roman"/>
        </w:rPr>
        <w:t xml:space="preserve"> explorations of complex and interdependent systems, key factors are considered to redress unsustainable resource exploitation and degradation. Particular attention is given to the complexities and dilemmas inherent to waterways, such as the Mekong River Basin and Delta. The authors argue for multi-win goals, systemic understanding, stakeholder inclusion, and resolutions via cooperation and constructive engagement-including projects, products, services, and institutional leadership for best practices designed and administered to enhance sustainability and citizen/societal well-being.</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8" w:name="m_-1474714270548722956__Toc502846069"/>
      <w:proofErr w:type="gramStart"/>
      <w:r w:rsidRPr="00573EEE">
        <w:rPr>
          <w:rFonts w:ascii="Calibri" w:eastAsia="Times New Roman" w:hAnsi="Calibri"/>
          <w:b/>
          <w:bCs/>
          <w:color w:val="800000"/>
          <w:sz w:val="22"/>
          <w:szCs w:val="22"/>
        </w:rPr>
        <w:t xml:space="preserve">Arsenic residue in residential area after cleanup of pesticide illegal dumping sources in Thanh </w:t>
      </w:r>
      <w:proofErr w:type="spellStart"/>
      <w:r w:rsidRPr="00573EEE">
        <w:rPr>
          <w:rFonts w:ascii="Calibri" w:eastAsia="Times New Roman" w:hAnsi="Calibri"/>
          <w:b/>
          <w:bCs/>
          <w:color w:val="800000"/>
          <w:sz w:val="22"/>
          <w:szCs w:val="22"/>
        </w:rPr>
        <w:t>Hoa</w:t>
      </w:r>
      <w:proofErr w:type="spellEnd"/>
      <w:r w:rsidRPr="00573EEE">
        <w:rPr>
          <w:rFonts w:ascii="Calibri" w:eastAsia="Times New Roman" w:hAnsi="Calibri"/>
          <w:b/>
          <w:bCs/>
          <w:color w:val="800000"/>
          <w:sz w:val="22"/>
          <w:szCs w:val="22"/>
        </w:rPr>
        <w:t xml:space="preserve"> province, Central Vietnam.</w:t>
      </w:r>
      <w:bookmarkEnd w:id="38"/>
      <w:proofErr w:type="gramEnd"/>
    </w:p>
    <w:p w:rsidR="00573EEE" w:rsidRPr="00573EEE" w:rsidRDefault="00573EEE" w:rsidP="00573EEE">
      <w:pPr>
        <w:spacing w:before="100" w:beforeAutospacing="1" w:after="100" w:afterAutospacing="1"/>
        <w:rPr>
          <w:rFonts w:eastAsia="Times New Roman"/>
        </w:rPr>
      </w:pPr>
      <w:proofErr w:type="spellStart"/>
      <w:r w:rsidRPr="00573EEE">
        <w:rPr>
          <w:rFonts w:eastAsia="Times New Roman"/>
        </w:rPr>
        <w:t>Tanapon</w:t>
      </w:r>
      <w:proofErr w:type="spellEnd"/>
      <w:r w:rsidRPr="00573EEE">
        <w:rPr>
          <w:rFonts w:eastAsia="Times New Roman"/>
        </w:rPr>
        <w:t xml:space="preserve"> </w:t>
      </w:r>
      <w:proofErr w:type="spellStart"/>
      <w:r w:rsidRPr="00573EEE">
        <w:rPr>
          <w:rFonts w:eastAsia="Times New Roman"/>
        </w:rPr>
        <w:t>Phenrat</w:t>
      </w:r>
      <w:proofErr w:type="spellEnd"/>
      <w:r w:rsidRPr="00573EEE">
        <w:rPr>
          <w:rFonts w:eastAsia="Times New Roman"/>
        </w:rPr>
        <w:t xml:space="preserve">, Quoc Tran Ba, </w:t>
      </w:r>
      <w:proofErr w:type="spellStart"/>
      <w:r w:rsidRPr="00573EEE">
        <w:rPr>
          <w:rFonts w:eastAsia="Times New Roman"/>
        </w:rPr>
        <w:t>Kitsanateen</w:t>
      </w:r>
      <w:proofErr w:type="spellEnd"/>
      <w:r w:rsidRPr="00573EEE">
        <w:rPr>
          <w:rFonts w:eastAsia="Times New Roman"/>
        </w:rPr>
        <w:t xml:space="preserve"> </w:t>
      </w:r>
      <w:proofErr w:type="spellStart"/>
      <w:r w:rsidRPr="00573EEE">
        <w:rPr>
          <w:rFonts w:eastAsia="Times New Roman"/>
        </w:rPr>
        <w:t>Piaowan</w:t>
      </w:r>
      <w:proofErr w:type="spellEnd"/>
      <w:r w:rsidRPr="00573EEE">
        <w:rPr>
          <w:rFonts w:eastAsia="Times New Roman"/>
        </w:rPr>
        <w:t xml:space="preserve">, </w:t>
      </w:r>
      <w:proofErr w:type="spellStart"/>
      <w:r w:rsidRPr="00573EEE">
        <w:rPr>
          <w:rFonts w:eastAsia="Times New Roman"/>
        </w:rPr>
        <w:t>Thippawan</w:t>
      </w:r>
      <w:proofErr w:type="spellEnd"/>
      <w:r w:rsidRPr="00573EEE">
        <w:rPr>
          <w:rFonts w:eastAsia="Times New Roman"/>
        </w:rPr>
        <w:t xml:space="preserve"> </w:t>
      </w:r>
      <w:proofErr w:type="spellStart"/>
      <w:r w:rsidRPr="00573EEE">
        <w:rPr>
          <w:rFonts w:eastAsia="Times New Roman"/>
        </w:rPr>
        <w:t>Thongboot</w:t>
      </w:r>
      <w:proofErr w:type="spellEnd"/>
      <w:r w:rsidRPr="00573EEE">
        <w:rPr>
          <w:rFonts w:eastAsia="Times New Roman"/>
        </w:rPr>
        <w:t>, Song Thao Le and others. Environmental Forensics, 2017, pp. 1-13.</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In Vietnam, </w:t>
      </w:r>
      <w:proofErr w:type="spellStart"/>
      <w:r w:rsidRPr="00573EEE">
        <w:rPr>
          <w:rFonts w:eastAsia="Times New Roman"/>
        </w:rPr>
        <w:t>Nicotex's</w:t>
      </w:r>
      <w:proofErr w:type="spellEnd"/>
      <w:r w:rsidRPr="00573EEE">
        <w:rPr>
          <w:rFonts w:eastAsia="Times New Roman"/>
        </w:rPr>
        <w:t xml:space="preserve"> site is perhaps the most infamous case of illegal disposal of toxic pesticides near residential areas. In 2013, affected villagers discovered illegal burials of around </w:t>
      </w:r>
      <w:r w:rsidRPr="00573EEE">
        <w:rPr>
          <w:rFonts w:eastAsia="Times New Roman"/>
        </w:rPr>
        <w:lastRenderedPageBreak/>
        <w:t xml:space="preserve">1,000 tons of expired pesticides in the </w:t>
      </w:r>
      <w:proofErr w:type="spellStart"/>
      <w:r w:rsidRPr="00573EEE">
        <w:rPr>
          <w:rFonts w:eastAsia="Times New Roman"/>
        </w:rPr>
        <w:t>Nicotex</w:t>
      </w:r>
      <w:proofErr w:type="spellEnd"/>
      <w:r w:rsidRPr="00573EEE">
        <w:rPr>
          <w:rFonts w:eastAsia="Times New Roman"/>
        </w:rPr>
        <w:t xml:space="preserve"> factory. Organic pesticides were detected in illegal burial areas (IBAs) around 60 times greater than acceptable levels, but no attention was paid to contamination of metals, metalloids, and other classes of organic contaminants, which could be co-contaminants in pesticide formulation. This study assessed the contaminants remaining in the IBAs and surrounding residential areas two years after the source removal conducted in 2014. Additionally, a preliminary health risk assessment from residual contaminants was performed. Nine classes of chemicals including parental pesticides, inorganic and organic degradation byproducts, and metals and metalloids, comprising 123 chemicals were quantified in soil, sediment, and water samples from </w:t>
      </w:r>
      <w:proofErr w:type="spellStart"/>
      <w:r w:rsidRPr="00573EEE">
        <w:rPr>
          <w:rFonts w:eastAsia="Times New Roman"/>
        </w:rPr>
        <w:t>Nicotex</w:t>
      </w:r>
      <w:proofErr w:type="spellEnd"/>
      <w:r w:rsidRPr="00573EEE">
        <w:rPr>
          <w:rFonts w:eastAsia="Times New Roman"/>
        </w:rPr>
        <w:t xml:space="preserve"> and surrounding residential areas. Although concentrations of organic pesticides were below acceptable levels, arsenic contamination in the soil in a </w:t>
      </w:r>
      <w:proofErr w:type="spellStart"/>
      <w:r w:rsidRPr="00573EEE">
        <w:rPr>
          <w:rFonts w:eastAsia="Times New Roman"/>
        </w:rPr>
        <w:t>Nicotex</w:t>
      </w:r>
      <w:proofErr w:type="spellEnd"/>
      <w:r w:rsidRPr="00573EEE">
        <w:rPr>
          <w:rFonts w:eastAsia="Times New Roman"/>
        </w:rPr>
        <w:t xml:space="preserve"> IBA named NCT5 and Nap village (NV) exceeded the acceptable level. The enrichment factor and log-probability plot indicate that arsenic enrichment at NV is not from natural sources but is associated with arsenic contamination in NCT5. Arsenic may be a co-contaminant in pesticide manufacturing or an arsenical pesticide, such as monosodium </w:t>
      </w:r>
      <w:proofErr w:type="spellStart"/>
      <w:r w:rsidRPr="00573EEE">
        <w:rPr>
          <w:rFonts w:eastAsia="Times New Roman"/>
        </w:rPr>
        <w:t>methanearsonate</w:t>
      </w:r>
      <w:proofErr w:type="spellEnd"/>
      <w:r w:rsidRPr="00573EEE">
        <w:rPr>
          <w:rFonts w:eastAsia="Times New Roman"/>
        </w:rPr>
        <w:t>. Arsenic found in NV was toxic arsenate for which the preliminary risk assessment yielded an unacceptable excess carcinogenic risk (</w:t>
      </w:r>
      <w:proofErr w:type="gramStart"/>
      <w:r w:rsidRPr="00573EEE">
        <w:rPr>
          <w:rFonts w:eastAsia="Times New Roman"/>
        </w:rPr>
        <w:t>1 ?</w:t>
      </w:r>
      <w:proofErr w:type="gramEnd"/>
      <w:r w:rsidRPr="00573EEE">
        <w:rPr>
          <w:rFonts w:eastAsia="Times New Roman"/>
        </w:rPr>
        <w:t xml:space="preserve"> 10?4). While all attention was paid to investigate and treat contamination of organic pesticides, it turns out that arsenic is the major existing threat which poses an unacceptable cancer risk in good agreement with the high cancer rate claimed by villagers near </w:t>
      </w:r>
      <w:proofErr w:type="spellStart"/>
      <w:r w:rsidRPr="00573EEE">
        <w:rPr>
          <w:rFonts w:eastAsia="Times New Roman"/>
        </w:rPr>
        <w:t>Nicotex</w:t>
      </w:r>
      <w:proofErr w:type="spellEnd"/>
      <w:r w:rsidRPr="00573EEE">
        <w:rPr>
          <w:rFonts w:eastAsia="Times New Roman"/>
        </w:rPr>
        <w:t>. This justifies the need for further investigation of the extent of the arsenic contamination and restoration of the contaminated land.</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39" w:name="m_-1474714270548722956__Toc502846070"/>
      <w:proofErr w:type="gramStart"/>
      <w:r w:rsidRPr="00573EEE">
        <w:rPr>
          <w:rFonts w:ascii="Calibri" w:eastAsia="Times New Roman" w:hAnsi="Calibri"/>
          <w:b/>
          <w:bCs/>
          <w:color w:val="800000"/>
          <w:sz w:val="22"/>
          <w:szCs w:val="22"/>
        </w:rPr>
        <w:t>Oyster Contamination with Human Noroviruses Impacted by Urban Drainage and Seasonal Flooding in Vietnam.</w:t>
      </w:r>
      <w:bookmarkEnd w:id="39"/>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Gia Thanh Nguyen, Jian Pu, Takayuki Miura, Hiroaki Ito, </w:t>
      </w:r>
      <w:proofErr w:type="spellStart"/>
      <w:r w:rsidRPr="00573EEE">
        <w:rPr>
          <w:rFonts w:eastAsia="Times New Roman"/>
        </w:rPr>
        <w:t>Shinobu</w:t>
      </w:r>
      <w:proofErr w:type="spellEnd"/>
      <w:r w:rsidRPr="00573EEE">
        <w:rPr>
          <w:rFonts w:eastAsia="Times New Roman"/>
        </w:rPr>
        <w:t xml:space="preserve"> </w:t>
      </w:r>
      <w:proofErr w:type="spellStart"/>
      <w:r w:rsidRPr="00573EEE">
        <w:rPr>
          <w:rFonts w:eastAsia="Times New Roman"/>
        </w:rPr>
        <w:t>Kazama</w:t>
      </w:r>
      <w:proofErr w:type="spellEnd"/>
      <w:r w:rsidRPr="00573EEE">
        <w:rPr>
          <w:rFonts w:eastAsia="Times New Roman"/>
        </w:rPr>
        <w:t xml:space="preserve"> and others. </w:t>
      </w:r>
      <w:proofErr w:type="gramStart"/>
      <w:r w:rsidRPr="00573EEE">
        <w:rPr>
          <w:rFonts w:eastAsia="Times New Roman"/>
        </w:rPr>
        <w:t>Food and Environmental Virology,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study investigated the level of norovirus contamination in oysters collected at a lagoon receiving urban drainage from Hue City for 17 months (August 2015–December 2016). We also investigated the genetic diversity of norovirus GI and GII in oyster and wastewater samples by using pyrosequencing to evaluate the effect of urban drainage on norovirus contamination of oysters. A total of 34 oyster samples were collected at two sampling sites (stations A and B) in a lagoon. Norovirus GI was more frequently detected than GII (positive rate 79 vs. 41%). Maximum concentrations of GI and GII were 2.4 × 105 and 2.3 × 104 copies/g, respectively. Co-contamination with GI and GII was observed in 35% of samples. Norovirus GII concentration was higher at station A in the flood season than in the dry season (P = 0.04, Wilcoxon signed-rank test). Six genotypes (GI.2, GI.3, GI.5, GII.2, GII.3, and GII.4) were identified in both wastewater and oyster samples, and genetically similar or identical sequences </w:t>
      </w:r>
      <w:r w:rsidRPr="00573EEE">
        <w:rPr>
          <w:rFonts w:eastAsia="Times New Roman"/>
        </w:rPr>
        <w:lastRenderedPageBreak/>
        <w:t>were obtained from the two types of samples. These observations suggest that urban drainage and seasonal flooding contribute to norovirus contamination of oysters in the study area.</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40" w:name="m_-1474714270548722956__Toc502846071"/>
      <w:r w:rsidRPr="00573EEE">
        <w:rPr>
          <w:rFonts w:eastAsia="Times New Roman"/>
          <w:b/>
          <w:bCs/>
          <w:kern w:val="36"/>
          <w:sz w:val="48"/>
          <w:szCs w:val="48"/>
          <w:shd w:val="clear" w:color="auto" w:fill="D3D3D3"/>
        </w:rPr>
        <w:t>Governance</w:t>
      </w:r>
      <w:bookmarkEnd w:id="40"/>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1" w:name="m_-1474714270548722956__Toc502846072"/>
      <w:r w:rsidRPr="00573EEE">
        <w:rPr>
          <w:rFonts w:ascii="Calibri" w:eastAsia="Times New Roman" w:hAnsi="Calibri"/>
          <w:b/>
          <w:bCs/>
          <w:color w:val="800000"/>
          <w:sz w:val="22"/>
          <w:szCs w:val="22"/>
        </w:rPr>
        <w:t>Public Sector Reform and National Development in East and Southeast Asia: Specificity and Commonality.</w:t>
      </w:r>
      <w:bookmarkEnd w:id="41"/>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Mark Turner. </w:t>
      </w:r>
      <w:proofErr w:type="gramStart"/>
      <w:r w:rsidRPr="00573EEE">
        <w:rPr>
          <w:rFonts w:eastAsia="Times New Roman"/>
        </w:rPr>
        <w:t>in</w:t>
      </w:r>
      <w:proofErr w:type="gramEnd"/>
      <w:r w:rsidRPr="00573EEE">
        <w:rPr>
          <w:rFonts w:eastAsia="Times New Roman"/>
        </w:rPr>
        <w:t>: Public Policy in the 'Asian Century': Concepts, Cases and Futures, Palgrave Macmillan UK, London, 2018, pp. 209-235.</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chapter examines public sector reform in East and Southeast Asia. It looks at commonalities and divergences between the countries of these regions in terms of their </w:t>
      </w:r>
      <w:proofErr w:type="spellStart"/>
      <w:r w:rsidRPr="00573EEE">
        <w:rPr>
          <w:rFonts w:eastAsia="Times New Roman"/>
        </w:rPr>
        <w:t>organisational</w:t>
      </w:r>
      <w:proofErr w:type="spellEnd"/>
      <w:r w:rsidRPr="00573EEE">
        <w:rPr>
          <w:rFonts w:eastAsia="Times New Roman"/>
        </w:rPr>
        <w:t xml:space="preserve"> environments and their reform policies. Special attention is paid to three areas of public sector reform—policy transfer, anti-corruption measures and decentralization. What emerges is a complex longstanding pattern of reform activities in East and Southeast Asia in which importation, adaptation and innovation have been evident. This approach to public sector reform and the importance attached to it have undoubtedly contributed to the sustained development of the countries in East and Southeast Asia.</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2" w:name="m_-1474714270548722956__Toc502846073"/>
      <w:r w:rsidRPr="00573EEE">
        <w:rPr>
          <w:rFonts w:ascii="Calibri" w:eastAsia="Times New Roman" w:hAnsi="Calibri"/>
          <w:b/>
          <w:bCs/>
          <w:color w:val="800000"/>
          <w:sz w:val="22"/>
          <w:szCs w:val="22"/>
        </w:rPr>
        <w:t>Factors influencing people’s knowledge, attitude, and practice in land use dynamics: A case study in Ca Mau province in the Mekong delta, Vietnam.</w:t>
      </w:r>
      <w:bookmarkEnd w:id="42"/>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Hanh Tran, Quoc Nguyen and </w:t>
      </w:r>
      <w:proofErr w:type="spellStart"/>
      <w:r w:rsidRPr="00573EEE">
        <w:rPr>
          <w:rFonts w:eastAsia="Times New Roman"/>
        </w:rPr>
        <w:t>Matthieu</w:t>
      </w:r>
      <w:proofErr w:type="spellEnd"/>
      <w:r w:rsidRPr="00573EEE">
        <w:rPr>
          <w:rFonts w:eastAsia="Times New Roman"/>
        </w:rPr>
        <w:t xml:space="preserve"> </w:t>
      </w:r>
      <w:proofErr w:type="spellStart"/>
      <w:r w:rsidRPr="00573EEE">
        <w:rPr>
          <w:rFonts w:eastAsia="Times New Roman"/>
        </w:rPr>
        <w:t>Kervyn</w:t>
      </w:r>
      <w:proofErr w:type="spellEnd"/>
      <w:r w:rsidRPr="00573EEE">
        <w:rPr>
          <w:rFonts w:eastAsia="Times New Roman"/>
        </w:rPr>
        <w:t>.</w:t>
      </w:r>
      <w:proofErr w:type="gramEnd"/>
      <w:r w:rsidRPr="00573EEE">
        <w:rPr>
          <w:rFonts w:eastAsia="Times New Roman"/>
        </w:rPr>
        <w:t xml:space="preserve"> Land Use Policy, 2018, volume 72, pp. 227-238.</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Land use is rapidly changing within the Mekong delta due to decisions of local actors. This study aims at understanding the factors influencing the understanding of inhabitants about the concepts, causes and effects of land use and cover changes (LUCC), as well as how they perceive and act about LUCC management. A Knowledge-Attitude-Practice (KAP) survey was carried out on a sample of 330 households in the Tran Van </w:t>
      </w:r>
      <w:proofErr w:type="spellStart"/>
      <w:r w:rsidRPr="00573EEE">
        <w:rPr>
          <w:rFonts w:eastAsia="Times New Roman"/>
        </w:rPr>
        <w:t>Thoi</w:t>
      </w:r>
      <w:proofErr w:type="spellEnd"/>
      <w:r w:rsidRPr="00573EEE">
        <w:rPr>
          <w:rFonts w:eastAsia="Times New Roman"/>
        </w:rPr>
        <w:t xml:space="preserve"> District, Ca Mau Province in the </w:t>
      </w:r>
      <w:r w:rsidRPr="00573EEE">
        <w:rPr>
          <w:rFonts w:eastAsia="Times New Roman"/>
        </w:rPr>
        <w:lastRenderedPageBreak/>
        <w:t>Mekong Delta, Vietnam. The respondents were surveyed on their knowledge of the conceptualization of LUCC, how LUCC are caused and what their consequences are. The results highlight the political, socio-demographic, economic and environmental causes and effects considered as meaningful by the respondents for understanding LUCC process. Multiple logistic regression (MLR) models with nested cross-validation were developed for investigating the factors influencing the knowledge, attitude and practice of individual households. Although variation exists in the significant predictors of the different K-A-P components, educational level, age, participation in group activity, access to communication mean, and occupation (farming or permanent employment) are shown to be the main influencing variables. The knowledge of the concept of LUCC, and to a lower extent of its causes and consequences, highly correlates with the Attitude and Practice regarding LUCC management, indicating the necessity of disseminating and enhancing LUCC understanding among local actors before implementing land use management projects.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3" w:name="m_-1474714270548722956__Toc502846074"/>
      <w:r w:rsidRPr="00573EEE">
        <w:rPr>
          <w:rFonts w:ascii="Calibri" w:eastAsia="Times New Roman" w:hAnsi="Calibri"/>
          <w:b/>
          <w:bCs/>
          <w:color w:val="800000"/>
          <w:sz w:val="22"/>
          <w:szCs w:val="22"/>
        </w:rPr>
        <w:t>Vietnam: The Socialist Party State.</w:t>
      </w:r>
      <w:bookmarkEnd w:id="43"/>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t>Aurel</w:t>
      </w:r>
      <w:proofErr w:type="spellEnd"/>
      <w:r w:rsidRPr="00573EEE">
        <w:rPr>
          <w:rFonts w:eastAsia="Times New Roman"/>
        </w:rPr>
        <w:t xml:space="preserve"> Croissant and Philip Lorenz.</w:t>
      </w:r>
      <w:proofErr w:type="gramEnd"/>
      <w:r w:rsidRPr="00573EEE">
        <w:rPr>
          <w:rFonts w:eastAsia="Times New Roman"/>
        </w:rPr>
        <w:t xml:space="preserve"> </w:t>
      </w:r>
      <w:proofErr w:type="gramStart"/>
      <w:r w:rsidRPr="00573EEE">
        <w:rPr>
          <w:rFonts w:eastAsia="Times New Roman"/>
        </w:rPr>
        <w:t>in</w:t>
      </w:r>
      <w:proofErr w:type="gramEnd"/>
      <w:r w:rsidRPr="00573EEE">
        <w:rPr>
          <w:rFonts w:eastAsia="Times New Roman"/>
        </w:rPr>
        <w:t>: Comparative Politics of Southeast Asia: An Introduction to Governments and Political Regimes, Springer International Publishing, Cham, 2018, pp. 367-402.</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Vietnam is a communist one-party regime in transition. With the implementation of </w:t>
      </w:r>
      <w:proofErr w:type="spellStart"/>
      <w:r w:rsidRPr="00573EEE">
        <w:rPr>
          <w:rFonts w:eastAsia="Times New Roman"/>
        </w:rPr>
        <w:t>doi</w:t>
      </w:r>
      <w:proofErr w:type="spellEnd"/>
      <w:r w:rsidRPr="00573EEE">
        <w:rPr>
          <w:rFonts w:eastAsia="Times New Roman"/>
        </w:rPr>
        <w:t xml:space="preserve"> </w:t>
      </w:r>
      <w:proofErr w:type="spellStart"/>
      <w:r w:rsidRPr="00573EEE">
        <w:rPr>
          <w:rFonts w:eastAsia="Times New Roman"/>
        </w:rPr>
        <w:t>moi</w:t>
      </w:r>
      <w:proofErr w:type="spellEnd"/>
      <w:r w:rsidRPr="00573EEE">
        <w:rPr>
          <w:rFonts w:eastAsia="Times New Roman"/>
        </w:rPr>
        <w:t>, the Communist Party of Vietnam replaced a centrally planned economy with a “socialist-oriented market economy.” The transition from a fully planned economy to a mixed economy generated dynamic economic growth and socioeconomic modernization that puts the Communist Party in a potentially vulnerable position. The Party has reacted resolutely against any demands for political liberalization or a more open political process. Overall, it appears that the communist rulers have successfully adapted the pillars of regime stability to changing international and domestic contexts. The strategy of economic transformation and institutional innovation has enabled the CPV to keep its regime coalition together and to reconcile increasingly diverse sectoral and regional interests. Today, the CPV is no longer a revolutionary party striving for a utopian socialist ideal, but a bureaucratic party seeking to preserve the political status quo. Three decades of reform have generated conflict between the government and society in general, within the Party, and within different social groups in various forms, indicated by a steadily growing number of protests since the late 1990s. But even with these challenges, communist party rule in Vietnam appears resilient and adaptive. This chapter provides a systematic overview of the political actors, institutions, and dynamics of Vietnam’s political system and summarizes its history and recent developments.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44" w:name="m_-1474714270548722956__Toc502846075"/>
      <w:r w:rsidRPr="00573EEE">
        <w:rPr>
          <w:rFonts w:eastAsia="Times New Roman"/>
          <w:b/>
          <w:bCs/>
          <w:kern w:val="36"/>
          <w:sz w:val="48"/>
          <w:szCs w:val="48"/>
          <w:shd w:val="clear" w:color="auto" w:fill="D3D3D3"/>
        </w:rPr>
        <w:t>Healthcare, Nutrition and Population</w:t>
      </w:r>
      <w:bookmarkEnd w:id="44"/>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5" w:name="m_-1474714270548722956__Toc502846076"/>
      <w:r w:rsidRPr="00573EEE">
        <w:rPr>
          <w:rFonts w:ascii="Calibri" w:eastAsia="Times New Roman" w:hAnsi="Calibri"/>
          <w:b/>
          <w:bCs/>
          <w:color w:val="800000"/>
          <w:sz w:val="22"/>
          <w:szCs w:val="22"/>
        </w:rPr>
        <w:t xml:space="preserve">Referral patterns, delays, and equity in access to advanced </w:t>
      </w:r>
      <w:proofErr w:type="spellStart"/>
      <w:r w:rsidRPr="00573EEE">
        <w:rPr>
          <w:rFonts w:ascii="Calibri" w:eastAsia="Times New Roman" w:hAnsi="Calibri"/>
          <w:b/>
          <w:bCs/>
          <w:color w:val="800000"/>
          <w:sz w:val="22"/>
          <w:szCs w:val="22"/>
        </w:rPr>
        <w:t>paediatric</w:t>
      </w:r>
      <w:proofErr w:type="spellEnd"/>
      <w:r w:rsidRPr="00573EEE">
        <w:rPr>
          <w:rFonts w:ascii="Calibri" w:eastAsia="Times New Roman" w:hAnsi="Calibri"/>
          <w:b/>
          <w:bCs/>
          <w:color w:val="800000"/>
          <w:sz w:val="22"/>
          <w:szCs w:val="22"/>
        </w:rPr>
        <w:t xml:space="preserve"> emergency care in Vietnam.</w:t>
      </w:r>
      <w:bookmarkEnd w:id="45"/>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Emily </w:t>
      </w:r>
      <w:proofErr w:type="spellStart"/>
      <w:r w:rsidRPr="00573EEE">
        <w:rPr>
          <w:rFonts w:eastAsia="Times New Roman"/>
        </w:rPr>
        <w:t>Treleaven</w:t>
      </w:r>
      <w:proofErr w:type="spellEnd"/>
      <w:r w:rsidRPr="00573EEE">
        <w:rPr>
          <w:rFonts w:eastAsia="Times New Roman"/>
        </w:rPr>
        <w:t xml:space="preserve">, </w:t>
      </w:r>
      <w:proofErr w:type="spellStart"/>
      <w:r w:rsidRPr="00573EEE">
        <w:rPr>
          <w:rFonts w:eastAsia="Times New Roman"/>
        </w:rPr>
        <w:t>Toan</w:t>
      </w:r>
      <w:proofErr w:type="spellEnd"/>
      <w:r w:rsidRPr="00573EEE">
        <w:rPr>
          <w:rFonts w:eastAsia="Times New Roman"/>
        </w:rPr>
        <w:t xml:space="preserve"> Ngoc Pham, </w:t>
      </w:r>
      <w:proofErr w:type="spellStart"/>
      <w:r w:rsidRPr="00573EEE">
        <w:rPr>
          <w:rFonts w:eastAsia="Times New Roman"/>
        </w:rPr>
        <w:t>Duy</w:t>
      </w:r>
      <w:proofErr w:type="spellEnd"/>
      <w:r w:rsidRPr="00573EEE">
        <w:rPr>
          <w:rFonts w:eastAsia="Times New Roman"/>
        </w:rPr>
        <w:t xml:space="preserve"> Ngoc Le, Trevor N Brooks, Hai Thanh Le and others. </w:t>
      </w:r>
      <w:proofErr w:type="spellStart"/>
      <w:r w:rsidRPr="00573EEE">
        <w:rPr>
          <w:rFonts w:eastAsia="Times New Roman"/>
        </w:rPr>
        <w:t>Int</w:t>
      </w:r>
      <w:proofErr w:type="spellEnd"/>
      <w:r w:rsidRPr="00573EEE">
        <w:rPr>
          <w:rFonts w:eastAsia="Times New Roman"/>
        </w:rPr>
        <w:t xml:space="preserve"> J Equity Health, 2017, volume 16, number 1, p. 215.</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1" w:tgtFrame="_blank" w:history="1">
        <w:r w:rsidRPr="00573EEE">
          <w:rPr>
            <w:rFonts w:eastAsia="Times New Roman"/>
            <w:color w:val="0000FF"/>
            <w:u w:val="single"/>
          </w:rPr>
          <w:t>https://equityhealthj.biomedcentral.com/articles/10.1186/s12939-017-0703-y</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BACKGROUND: Quality emergency care is a critical component of a well-functioning health system. However, severely ill children often face barriers to timely, appropriate care in less-developed health systems. Such barriers disproportionately affect poorer children, and may be particularly acute when children seek advanced emergency care. We examine predictors of increased acuity and patient outcomes at a tertiary </w:t>
      </w:r>
      <w:proofErr w:type="spellStart"/>
      <w:r w:rsidRPr="00573EEE">
        <w:rPr>
          <w:rFonts w:eastAsia="Times New Roman"/>
        </w:rPr>
        <w:t>paediatric</w:t>
      </w:r>
      <w:proofErr w:type="spellEnd"/>
      <w:r w:rsidRPr="00573EEE">
        <w:rPr>
          <w:rFonts w:eastAsia="Times New Roman"/>
        </w:rPr>
        <w:t xml:space="preserve"> emergency department to identify barriers to advanced emergency care among children. METHODS: We </w:t>
      </w:r>
      <w:proofErr w:type="spellStart"/>
      <w:r w:rsidRPr="00573EEE">
        <w:rPr>
          <w:rFonts w:eastAsia="Times New Roman"/>
        </w:rPr>
        <w:t>analysed</w:t>
      </w:r>
      <w:proofErr w:type="spellEnd"/>
      <w:r w:rsidRPr="00573EEE">
        <w:rPr>
          <w:rFonts w:eastAsia="Times New Roman"/>
        </w:rPr>
        <w:t xml:space="preserve"> a sample of 557 children admitted to a </w:t>
      </w:r>
      <w:proofErr w:type="spellStart"/>
      <w:r w:rsidRPr="00573EEE">
        <w:rPr>
          <w:rFonts w:eastAsia="Times New Roman"/>
        </w:rPr>
        <w:t>paediatric</w:t>
      </w:r>
      <w:proofErr w:type="spellEnd"/>
      <w:r w:rsidRPr="00573EEE">
        <w:rPr>
          <w:rFonts w:eastAsia="Times New Roman"/>
        </w:rPr>
        <w:t xml:space="preserve"> referral hospital in Hanoi, Vietnam. We examined associations between socio-demographic and facility characteristics, referrals and transfers, and patient outcomes. We used generalized ordered logistic regression to examine predictors of increased acuity on arrival. RESULTS: Most children accessing advanced emergency care were under two years of age (68.4%). Pneumonia was the most prevalent diagnosis (23.7%). Children referred from lower-level facilities experienced higher acuity on arrival (p = .000), were more likely to be admitted to an ICU (p = .000), and were more likely to die during hospitalization (p = .009). The poorest children [OR = 4.98, (1.82-13.61)], and children entering care at provincial hospitals [OR = 3.66, (2.39-5.63)] and other lower-level facilities [OR = 3.24, (1.78-5.88)] had significantly higher odds of increased acuity on arrival. CONCLUSIONS: The poorest children, who were more likely to enter care at lower-level facilities, were especially disadvantaged. While delays in entry to care were not predictive of acuity, children referred to tertiary care from lower-level facilities experienced worse outcomes. Improvements in triage, stabilization, and referral linkages at all levels should reduce within-system delays, increasing timely access to advanced emergency care for all children.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6" w:name="m_-1474714270548722956__Toc502846077"/>
      <w:proofErr w:type="gramStart"/>
      <w:r w:rsidRPr="00573EEE">
        <w:rPr>
          <w:rFonts w:ascii="Calibri" w:eastAsia="Times New Roman" w:hAnsi="Calibri"/>
          <w:b/>
          <w:bCs/>
          <w:color w:val="800000"/>
          <w:sz w:val="22"/>
          <w:szCs w:val="22"/>
        </w:rPr>
        <w:t>Climate patterns and mosquito-borne disease outbreaks in South and Southeast Asia.</w:t>
      </w:r>
      <w:bookmarkEnd w:id="46"/>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Joseph L. </w:t>
      </w:r>
      <w:proofErr w:type="spellStart"/>
      <w:r w:rsidRPr="00573EEE">
        <w:rPr>
          <w:rFonts w:eastAsia="Times New Roman"/>
        </w:rPr>
        <w:t>Servadio</w:t>
      </w:r>
      <w:proofErr w:type="spellEnd"/>
      <w:r w:rsidRPr="00573EEE">
        <w:rPr>
          <w:rFonts w:eastAsia="Times New Roman"/>
        </w:rPr>
        <w:t xml:space="preserve">, Samantha R. Rosenthal, Lynn Carlson and </w:t>
      </w:r>
      <w:proofErr w:type="spellStart"/>
      <w:r w:rsidRPr="00573EEE">
        <w:rPr>
          <w:rFonts w:eastAsia="Times New Roman"/>
        </w:rPr>
        <w:t>Cici</w:t>
      </w:r>
      <w:proofErr w:type="spellEnd"/>
      <w:r w:rsidRPr="00573EEE">
        <w:rPr>
          <w:rFonts w:eastAsia="Times New Roman"/>
        </w:rPr>
        <w:t xml:space="preserve"> Bauer.</w:t>
      </w:r>
      <w:proofErr w:type="gramEnd"/>
      <w:r w:rsidRPr="00573EEE">
        <w:rPr>
          <w:rFonts w:eastAsia="Times New Roman"/>
        </w:rPr>
        <w:t xml:space="preserve"> </w:t>
      </w:r>
      <w:proofErr w:type="gramStart"/>
      <w:r w:rsidRPr="00573EEE">
        <w:rPr>
          <w:rFonts w:eastAsia="Times New Roman"/>
        </w:rPr>
        <w:t>Journal of Infection and Public Health, 2018.</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Abstract: Background Vector-borne infectious diseases, particularly mosquito-borne, pose a substantial threat to populations throughout South and Southeast Asia. Outbreaks have affected this region several times during the early years of the 21st century, notably through outbreaks of Chikungunya and Dengue. These diseases are believed to be highly prevalent at endemic levels in the region as well. With a changing global climate, the impacts of changes in ambient temperatures and precipitation levels on mosquito populations are important for understanding the effects on risk of mosquito-borne disease outbreaks. This study aims to make use of a large data set to determine how risk of mosquito-borne infectious disease outbreaks relates to the highest monthly average temperature and precipitation for each year in South and Southeast Asia. Methods Generalized additive models were used in a marked point process to fit nonlinear trends relating temperature and precipitation to outbreak risk, fitting splines for temperature and precipitation. Confounding factors for nation affluence, climate type, and ability to report outbreaks were also included. Results Parabolic trends for both temperature and precipitation were observed relating to outbreak risk. The trend for temperature, which was significant, showed that outbreak risk peaks near 33.5 °C as the highest monthly average temperature. Though not significant, a trend for precipitation was observed showing risk peaking when the highest monthly average precipitation is 650 mm. Conclusions Peak levels of temperature and precipitation were identified for outbreak risk. These findings support the notion of a poleward shift in the distribution of mosquitoes within this region rather than a poleward expansion in geographic range.</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7" w:name="m_-1474714270548722956__Toc502846078"/>
      <w:r w:rsidRPr="00573EEE">
        <w:rPr>
          <w:rFonts w:ascii="Calibri" w:eastAsia="Times New Roman" w:hAnsi="Calibri"/>
          <w:b/>
          <w:bCs/>
          <w:color w:val="800000"/>
          <w:sz w:val="22"/>
          <w:szCs w:val="22"/>
        </w:rPr>
        <w:t>Support for alcohol policies among drinkers in Mongolia, New Zealand, Peru, South Africa, St Kitts and Nevis, Thailand and Vietnam: Data from the International Alcohol Control Study.</w:t>
      </w:r>
      <w:bookmarkEnd w:id="47"/>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Charles D H Parry, </w:t>
      </w:r>
      <w:proofErr w:type="spellStart"/>
      <w:r w:rsidRPr="00573EEE">
        <w:rPr>
          <w:rFonts w:eastAsia="Times New Roman"/>
        </w:rPr>
        <w:t>Mukhethwa</w:t>
      </w:r>
      <w:proofErr w:type="spellEnd"/>
      <w:r w:rsidRPr="00573EEE">
        <w:rPr>
          <w:rFonts w:eastAsia="Times New Roman"/>
        </w:rPr>
        <w:t xml:space="preserve"> </w:t>
      </w:r>
      <w:proofErr w:type="spellStart"/>
      <w:r w:rsidRPr="00573EEE">
        <w:rPr>
          <w:rFonts w:eastAsia="Times New Roman"/>
        </w:rPr>
        <w:t>Londani</w:t>
      </w:r>
      <w:proofErr w:type="spellEnd"/>
      <w:r w:rsidRPr="00573EEE">
        <w:rPr>
          <w:rFonts w:eastAsia="Times New Roman"/>
        </w:rPr>
        <w:t xml:space="preserve">, </w:t>
      </w:r>
      <w:proofErr w:type="spellStart"/>
      <w:r w:rsidRPr="00573EEE">
        <w:rPr>
          <w:rFonts w:eastAsia="Times New Roman"/>
        </w:rPr>
        <w:t>Palam</w:t>
      </w:r>
      <w:proofErr w:type="spellEnd"/>
      <w:r w:rsidRPr="00573EEE">
        <w:rPr>
          <w:rFonts w:eastAsia="Times New Roman"/>
        </w:rPr>
        <w:t xml:space="preserve"> </w:t>
      </w:r>
      <w:proofErr w:type="spellStart"/>
      <w:r w:rsidRPr="00573EEE">
        <w:rPr>
          <w:rFonts w:eastAsia="Times New Roman"/>
        </w:rPr>
        <w:t>Enkhtuya</w:t>
      </w:r>
      <w:proofErr w:type="spellEnd"/>
      <w:r w:rsidRPr="00573EEE">
        <w:rPr>
          <w:rFonts w:eastAsia="Times New Roman"/>
        </w:rPr>
        <w:t xml:space="preserve">, </w:t>
      </w:r>
      <w:proofErr w:type="spellStart"/>
      <w:r w:rsidRPr="00573EEE">
        <w:rPr>
          <w:rFonts w:eastAsia="Times New Roman"/>
        </w:rPr>
        <w:t>Taisia</w:t>
      </w:r>
      <w:proofErr w:type="spellEnd"/>
      <w:r w:rsidRPr="00573EEE">
        <w:rPr>
          <w:rFonts w:eastAsia="Times New Roman"/>
        </w:rPr>
        <w:t xml:space="preserve"> </w:t>
      </w:r>
      <w:proofErr w:type="spellStart"/>
      <w:r w:rsidRPr="00573EEE">
        <w:rPr>
          <w:rFonts w:eastAsia="Times New Roman"/>
        </w:rPr>
        <w:t>Huckle</w:t>
      </w:r>
      <w:proofErr w:type="spellEnd"/>
      <w:r w:rsidRPr="00573EEE">
        <w:rPr>
          <w:rFonts w:eastAsia="Times New Roman"/>
        </w:rPr>
        <w:t>, Marina Piazza and others. Drug Alcohol Rev, 2017.</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INTRODUCTION AND AIMS: A 2010 World Health Assembly resolution called on member states to intensify efforts to address alcohol-related harm. Progress has been slow. This study aims to determine the magnitude of public support for 12 alcohol policies and whether it differs by country, demographic factors and drinking risk (volume consumed). DESIGN AND METHODS: Data are drawn from seven countries participating in the International Alcohol Control Study which used country-specific sampling methods designed to obtain random, representative samples. The weighted total sample comprised 11 494 drinkers aged 16-65 years. RESULTS: Drinking risk was substantial (24% 'increased' risk and 16% 'high' risk) and was particularly high in South Africa. Support varied by alcohol policy, ranging from 12% to 96%, but was above 50% for 79% of the possible country/policy combinations. Across countries, policy support was generally higher for policies addressing drink driving and increasing the </w:t>
      </w:r>
      <w:r w:rsidRPr="00573EEE">
        <w:rPr>
          <w:rFonts w:eastAsia="Times New Roman"/>
        </w:rPr>
        <w:lastRenderedPageBreak/>
        <w:t>alcohol purchase age. There was less support for policies increasing the price of alcohol, especially when funds were not earmarked. Policy support differed by country, and was generally higher in the five middle-income countries than in New Zealand. It also differed by age, gender, education, quantity/frequency of drinking, risk category and country income level. DISCUSSION AND CONCLUSIONS: We found a trend in policy support, generally being highest in the low-middle-income countries, followed by high-middle-income countries and then high-income countries. Support from drinkers for a range of alcohol policies is extensive across all countries and could be used as a catalyst for further policy action.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8" w:name="m_-1474714270548722956__Toc502846079"/>
      <w:proofErr w:type="gramStart"/>
      <w:r w:rsidRPr="00573EEE">
        <w:rPr>
          <w:rFonts w:ascii="Calibri" w:eastAsia="Times New Roman" w:hAnsi="Calibri"/>
          <w:b/>
          <w:bCs/>
          <w:color w:val="800000"/>
          <w:sz w:val="22"/>
          <w:szCs w:val="22"/>
        </w:rPr>
        <w:t>Reviewing the latest national policies and services for people with severe mental health disorders in government-funded institutions in Vietnam, and policy recommendations for service improvements.</w:t>
      </w:r>
      <w:bookmarkEnd w:id="48"/>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Hoi Van Nguyen, Ha </w:t>
      </w:r>
      <w:proofErr w:type="spellStart"/>
      <w:r w:rsidRPr="00573EEE">
        <w:rPr>
          <w:rFonts w:eastAsia="Times New Roman"/>
        </w:rPr>
        <w:t>Thi</w:t>
      </w:r>
      <w:proofErr w:type="spellEnd"/>
      <w:r w:rsidRPr="00573EEE">
        <w:rPr>
          <w:rFonts w:eastAsia="Times New Roman"/>
        </w:rPr>
        <w:t xml:space="preserve"> Hai Do, Van </w:t>
      </w:r>
      <w:proofErr w:type="spellStart"/>
      <w:r w:rsidRPr="00573EEE">
        <w:rPr>
          <w:rFonts w:eastAsia="Times New Roman"/>
        </w:rPr>
        <w:t>Thi</w:t>
      </w:r>
      <w:proofErr w:type="spellEnd"/>
      <w:r w:rsidRPr="00573EEE">
        <w:rPr>
          <w:rFonts w:eastAsia="Times New Roman"/>
        </w:rPr>
        <w:t xml:space="preserve"> Anh Le and Ngoc-Anh Mai. Asia Pacific Journal of Social Work and Development, 2017, pp. 1-13.</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The aim of this paper is to provide the international community with a broad and updated picture of key policies and services for people with severe mental health disorders in Vietnam. In particular, the paper (1) reviews the most important national policies governing care for people with mental health disorders, (2) reviews the status of free-of-charge care provided to people with severe mental health disorders in a network of government-funded facilities across the nation and (3) discusses the future policy directions of Vietnam regarding people with mental health disorders.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49" w:name="m_-1474714270548722956__Toc502846080"/>
      <w:r w:rsidRPr="00573EEE">
        <w:rPr>
          <w:rFonts w:ascii="Calibri" w:eastAsia="Times New Roman" w:hAnsi="Calibri"/>
          <w:b/>
          <w:bCs/>
          <w:color w:val="800000"/>
          <w:sz w:val="22"/>
          <w:szCs w:val="22"/>
        </w:rPr>
        <w:t>Unmet needs of child and adolescent psychiatrists among Asian and European countries: does the Human Development Index (HDI) count?</w:t>
      </w:r>
      <w:bookmarkEnd w:id="49"/>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Andre Sourander, Roshan </w:t>
      </w:r>
      <w:proofErr w:type="spellStart"/>
      <w:r w:rsidRPr="00573EEE">
        <w:rPr>
          <w:rFonts w:eastAsia="Times New Roman"/>
        </w:rPr>
        <w:t>Chudal</w:t>
      </w:r>
      <w:proofErr w:type="spellEnd"/>
      <w:r w:rsidRPr="00573EEE">
        <w:rPr>
          <w:rFonts w:eastAsia="Times New Roman"/>
        </w:rPr>
        <w:t xml:space="preserve">, Norbert </w:t>
      </w:r>
      <w:proofErr w:type="spellStart"/>
      <w:r w:rsidRPr="00573EEE">
        <w:rPr>
          <w:rFonts w:eastAsia="Times New Roman"/>
        </w:rPr>
        <w:t>Skokauskas</w:t>
      </w:r>
      <w:proofErr w:type="spellEnd"/>
      <w:r w:rsidRPr="00573EEE">
        <w:rPr>
          <w:rFonts w:eastAsia="Times New Roman"/>
        </w:rPr>
        <w:t xml:space="preserve">, Ahmed </w:t>
      </w:r>
      <w:proofErr w:type="spellStart"/>
      <w:r w:rsidRPr="00573EEE">
        <w:rPr>
          <w:rFonts w:eastAsia="Times New Roman"/>
        </w:rPr>
        <w:t>Malallah</w:t>
      </w:r>
      <w:proofErr w:type="spellEnd"/>
      <w:r w:rsidRPr="00573EEE">
        <w:rPr>
          <w:rFonts w:eastAsia="Times New Roman"/>
        </w:rPr>
        <w:t xml:space="preserve"> Al-Ansari, </w:t>
      </w:r>
      <w:proofErr w:type="spellStart"/>
      <w:r w:rsidRPr="00573EEE">
        <w:rPr>
          <w:rFonts w:eastAsia="Times New Roman"/>
        </w:rPr>
        <w:t>Anat</w:t>
      </w:r>
      <w:proofErr w:type="spellEnd"/>
      <w:r w:rsidRPr="00573EEE">
        <w:rPr>
          <w:rFonts w:eastAsia="Times New Roman"/>
        </w:rPr>
        <w:t xml:space="preserve"> </w:t>
      </w:r>
      <w:proofErr w:type="spellStart"/>
      <w:r w:rsidRPr="00573EEE">
        <w:rPr>
          <w:rFonts w:eastAsia="Times New Roman"/>
        </w:rPr>
        <w:t>Brunstein</w:t>
      </w:r>
      <w:proofErr w:type="spellEnd"/>
      <w:r w:rsidRPr="00573EEE">
        <w:rPr>
          <w:rFonts w:eastAsia="Times New Roman"/>
        </w:rPr>
        <w:t xml:space="preserve"> </w:t>
      </w:r>
      <w:proofErr w:type="spellStart"/>
      <w:r w:rsidRPr="00573EEE">
        <w:rPr>
          <w:rFonts w:eastAsia="Times New Roman"/>
        </w:rPr>
        <w:t>Klomek</w:t>
      </w:r>
      <w:proofErr w:type="spellEnd"/>
      <w:r w:rsidRPr="00573EEE">
        <w:rPr>
          <w:rFonts w:eastAsia="Times New Roman"/>
        </w:rPr>
        <w:t xml:space="preserve"> and others. </w:t>
      </w:r>
      <w:proofErr w:type="gramStart"/>
      <w:r w:rsidRPr="00573EEE">
        <w:rPr>
          <w:rFonts w:eastAsia="Times New Roman"/>
        </w:rPr>
        <w:t>European Child &amp; Adolescent Psychiatry,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2" w:tgtFrame="_blank" w:history="1">
        <w:r w:rsidRPr="00573EEE">
          <w:rPr>
            <w:rFonts w:eastAsia="Times New Roman"/>
            <w:color w:val="0000FF"/>
            <w:u w:val="single"/>
          </w:rPr>
          <w:t>https://doi.org/10.1007/s00787-017-1095-7</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The Eurasian Child Mental Health Study (EACMHS), established September 2016, includes CAMH experts in ten Asian and seven European countries: Bahrain, China, Finland, Greece, India, Indonesia, Israel, Japan, Lithuania, Nepal, Norway, Russia, Singapore, </w:t>
      </w:r>
      <w:r w:rsidRPr="00573EEE">
        <w:rPr>
          <w:rFonts w:eastAsia="Times New Roman"/>
        </w:rPr>
        <w:lastRenderedPageBreak/>
        <w:t xml:space="preserve">Switzerland, Thailand, Ukraine and Vietnam [7, 8]. The overall aim of the group is to conduct cross-cultural, multi-site research on the wellbeing and mental health of children and adolescents. --- This editorial reports the ratios of child and adolescent psychiatrists per population size of 100,000 children aged 14 years or younger. The age limit of 14 years was made to ensure a uniform data source for children’s population as the World Bank data provide information on children aged 14 or younger in these countries [9]. The countries were arranged according to their ranking in the Human Development Index (HDI) 2016, put together by the United Nations Development </w:t>
      </w:r>
      <w:proofErr w:type="spellStart"/>
      <w:r w:rsidRPr="00573EEE">
        <w:rPr>
          <w:rFonts w:eastAsia="Times New Roman"/>
        </w:rPr>
        <w:t>Programme</w:t>
      </w:r>
      <w:proofErr w:type="spellEnd"/>
      <w:r w:rsidRPr="00573EEE">
        <w:rPr>
          <w:rFonts w:eastAsia="Times New Roman"/>
        </w:rPr>
        <w:t xml:space="preserve"> (UNDP). The HDI summarizes key dimensions of human development, including having a long and healthy life, being knowledgeable and having a decent standard of living [10]. The countries included in the HDI list are sub-grouped into four categories in the declining order of the HDI rank: (1) very high human development (Rank 1–51), (2) high human development (52–105), (3) medium human development (107–147) and (4) low human development (148–188). Information about the numbers of child and adolescent psychiatrists and training programs (updated February 2017) was obtained from group members using a structured questionnaire (available on request). </w:t>
      </w:r>
      <w:proofErr w:type="gramStart"/>
      <w:r w:rsidRPr="00573EEE">
        <w:rPr>
          <w:rFonts w:eastAsia="Times New Roman"/>
        </w:rPr>
        <w:t>[Sourander-etal-2017.pdf].</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0" w:name="m_-1474714270548722956__Toc502846081"/>
      <w:r w:rsidRPr="00573EEE">
        <w:rPr>
          <w:rFonts w:ascii="Calibri" w:eastAsia="Times New Roman" w:hAnsi="Calibri"/>
          <w:b/>
          <w:bCs/>
          <w:color w:val="800000"/>
          <w:sz w:val="22"/>
          <w:szCs w:val="22"/>
        </w:rPr>
        <w:t>Situation analysis of procurement and production of multiple micronutrient supplements in 12 lower and upper middle-income countries.</w:t>
      </w:r>
      <w:bookmarkEnd w:id="50"/>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Eva C </w:t>
      </w:r>
      <w:proofErr w:type="spellStart"/>
      <w:r w:rsidRPr="00573EEE">
        <w:rPr>
          <w:rFonts w:eastAsia="Times New Roman"/>
        </w:rPr>
        <w:t>Monterrosa</w:t>
      </w:r>
      <w:proofErr w:type="spellEnd"/>
      <w:r w:rsidRPr="00573EEE">
        <w:rPr>
          <w:rFonts w:eastAsia="Times New Roman"/>
        </w:rPr>
        <w:t xml:space="preserve">, </w:t>
      </w:r>
      <w:proofErr w:type="spellStart"/>
      <w:r w:rsidRPr="00573EEE">
        <w:rPr>
          <w:rFonts w:eastAsia="Times New Roman"/>
        </w:rPr>
        <w:t>Kalpana</w:t>
      </w:r>
      <w:proofErr w:type="spellEnd"/>
      <w:r w:rsidRPr="00573EEE">
        <w:rPr>
          <w:rFonts w:eastAsia="Times New Roman"/>
        </w:rPr>
        <w:t xml:space="preserve"> </w:t>
      </w:r>
      <w:proofErr w:type="spellStart"/>
      <w:r w:rsidRPr="00573EEE">
        <w:rPr>
          <w:rFonts w:eastAsia="Times New Roman"/>
        </w:rPr>
        <w:t>Beesabathuni</w:t>
      </w:r>
      <w:proofErr w:type="spellEnd"/>
      <w:r w:rsidRPr="00573EEE">
        <w:rPr>
          <w:rFonts w:eastAsia="Times New Roman"/>
        </w:rPr>
        <w:t xml:space="preserve">, </w:t>
      </w:r>
      <w:proofErr w:type="spellStart"/>
      <w:r w:rsidRPr="00573EEE">
        <w:rPr>
          <w:rFonts w:eastAsia="Times New Roman"/>
        </w:rPr>
        <w:t>Kesso</w:t>
      </w:r>
      <w:proofErr w:type="spellEnd"/>
      <w:r w:rsidRPr="00573EEE">
        <w:rPr>
          <w:rFonts w:eastAsia="Times New Roman"/>
        </w:rPr>
        <w:t xml:space="preserve"> G van </w:t>
      </w:r>
      <w:proofErr w:type="spellStart"/>
      <w:r w:rsidRPr="00573EEE">
        <w:rPr>
          <w:rFonts w:eastAsia="Times New Roman"/>
        </w:rPr>
        <w:t>Zutphen</w:t>
      </w:r>
      <w:proofErr w:type="spellEnd"/>
      <w:r w:rsidRPr="00573EEE">
        <w:rPr>
          <w:rFonts w:eastAsia="Times New Roman"/>
        </w:rPr>
        <w:t xml:space="preserve">, Georg </w:t>
      </w:r>
      <w:proofErr w:type="spellStart"/>
      <w:r w:rsidRPr="00573EEE">
        <w:rPr>
          <w:rFonts w:eastAsia="Times New Roman"/>
        </w:rPr>
        <w:t>Steiger</w:t>
      </w:r>
      <w:proofErr w:type="spellEnd"/>
      <w:r w:rsidRPr="00573EEE">
        <w:rPr>
          <w:rFonts w:eastAsia="Times New Roman"/>
        </w:rPr>
        <w:t xml:space="preserve">, Roland </w:t>
      </w:r>
      <w:proofErr w:type="spellStart"/>
      <w:r w:rsidRPr="00573EEE">
        <w:rPr>
          <w:rFonts w:eastAsia="Times New Roman"/>
        </w:rPr>
        <w:t>Kupka</w:t>
      </w:r>
      <w:proofErr w:type="spellEnd"/>
      <w:r w:rsidRPr="00573EEE">
        <w:rPr>
          <w:rFonts w:eastAsia="Times New Roman"/>
        </w:rPr>
        <w:t xml:space="preserve"> and others. </w:t>
      </w:r>
      <w:proofErr w:type="spellStart"/>
      <w:proofErr w:type="gramStart"/>
      <w:r w:rsidRPr="00573EEE">
        <w:rPr>
          <w:rFonts w:eastAsia="Times New Roman"/>
        </w:rPr>
        <w:t>Matern</w:t>
      </w:r>
      <w:proofErr w:type="spellEnd"/>
      <w:r w:rsidRPr="00573EEE">
        <w:rPr>
          <w:rFonts w:eastAsia="Times New Roman"/>
        </w:rPr>
        <w:t xml:space="preserve"> Child </w:t>
      </w:r>
      <w:proofErr w:type="spellStart"/>
      <w:r w:rsidRPr="00573EEE">
        <w:rPr>
          <w:rFonts w:eastAsia="Times New Roman"/>
        </w:rPr>
        <w:t>Nutr</w:t>
      </w:r>
      <w:proofErr w:type="spellEnd"/>
      <w:r w:rsidRPr="00573EEE">
        <w:rPr>
          <w:rFonts w:eastAsia="Times New Roman"/>
        </w:rPr>
        <w:t>,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Globally, there are few vitamin and mineral ingredient manufacturers. To support local, in-country or regional procurement and production of multiple micronutrient supplements (MMS), the following production scenarios are possible: (a) straight ingredients of vitamins and minerals forms imported or locally produced that are mixed, tableted, or encapsulated and packaged by a local manufacturer; (b) import or local production of a vitamin and minerals premix that is tableted or encapsulated and packaged locally; (c) import of a bulk, finished product (tablets or capsules) that is packaged and branded; and (d) or import of a branded packaged product. This paper is a situation analysis of the market, manufacturing, and policy factors that are driving the production of MMS in 12 lower and upper middle-income countries. Key informants completed a self-administered structured questionnaire, which examined the local context of products available in the market and their cost, regulations and policies, in Brazil, Colombia, Guatemala, Mexico, Peru, Bangladesh, India, Vietnam, Ghana, Kenya, Nigeria, and South Africa. Our study found that although most countries have the capacity to produce locally MMS, the major barriers observed for sustainable and affordable production include (a) poor technical capacity and policies for ensuring quality along the value chain and (b) lack of policy coherence to incentivize local production and lower the manufacture and retail price of MMS. Also, better guidelines and government oversight will be required because not one country had an MMS formulation that matched the globally recommended formulation of the United Nations Multiple Micronutrient Preparation (UNIMMAP).</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1" w:name="m_-1474714270548722956__Toc502846082"/>
      <w:r w:rsidRPr="00573EEE">
        <w:rPr>
          <w:rFonts w:ascii="Calibri" w:eastAsia="Times New Roman" w:hAnsi="Calibri"/>
          <w:b/>
          <w:bCs/>
          <w:color w:val="800000"/>
          <w:sz w:val="22"/>
          <w:szCs w:val="22"/>
        </w:rPr>
        <w:t xml:space="preserve">Association </w:t>
      </w:r>
      <w:proofErr w:type="gramStart"/>
      <w:r w:rsidRPr="00573EEE">
        <w:rPr>
          <w:rFonts w:ascii="Calibri" w:eastAsia="Times New Roman" w:hAnsi="Calibri"/>
          <w:b/>
          <w:bCs/>
          <w:color w:val="800000"/>
          <w:sz w:val="22"/>
          <w:szCs w:val="22"/>
        </w:rPr>
        <w:t>Between</w:t>
      </w:r>
      <w:proofErr w:type="gramEnd"/>
      <w:r w:rsidRPr="00573EEE">
        <w:rPr>
          <w:rFonts w:ascii="Calibri" w:eastAsia="Times New Roman" w:hAnsi="Calibri"/>
          <w:b/>
          <w:bCs/>
          <w:color w:val="800000"/>
          <w:sz w:val="22"/>
          <w:szCs w:val="22"/>
        </w:rPr>
        <w:t xml:space="preserve"> a Wider Availability of Health Information and Health Care Utilization in Vietnam: Cross-Sectional Study.</w:t>
      </w:r>
      <w:bookmarkEnd w:id="51"/>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Hoang Thuy Linh Nguyen, Keiko Nakamura, </w:t>
      </w:r>
      <w:proofErr w:type="spellStart"/>
      <w:r w:rsidRPr="00573EEE">
        <w:rPr>
          <w:rFonts w:eastAsia="Times New Roman"/>
        </w:rPr>
        <w:t>Kaoruko</w:t>
      </w:r>
      <w:proofErr w:type="spellEnd"/>
      <w:r w:rsidRPr="00573EEE">
        <w:rPr>
          <w:rFonts w:eastAsia="Times New Roman"/>
        </w:rPr>
        <w:t xml:space="preserve"> Seino and Van Thang Vo. J Med Internet Res, 2017, volume 19, number 12, p. e405.</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3" w:tgtFrame="_blank" w:history="1">
        <w:r w:rsidRPr="00573EEE">
          <w:rPr>
            <w:rFonts w:eastAsia="Times New Roman"/>
            <w:color w:val="0000FF"/>
            <w:u w:val="single"/>
          </w:rPr>
          <w:t>http://www.jmir.org/2017/12/e405/</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BACKGROUND: The rapid and widespread development of mass media sources including the Internet is occurring worldwide. Users are being confronted with a flood of health information through a wide availability of sources. Studies on how the availability of health information has triggered users' interest in utilizing health care services remain limited within the Vietnamese population. OBJECTIVE: This study examined the associations between the wider availability of sources for health information and health care utilization in Vietnam after adjusting for potential confounding variables. METHODS: The data for this study were drawn from a cross-sectional study conducted over a 6-month period in Hue, a city in central Vietnam. The participants were 993 randomly selected adults aged between 18 and 60 years. Information was collected through face-to-face interviews on the types of information sources that were consulted, including traditional media (television), Internet, and health education courses, as well as the impact of such information on health care use (emergency department visits, hospitalizations, doctor visits). Multivariable logistic regression analyses were performed at a 95% confidence level. RESULTS: The prevalence of watching television, using the Internet, and attending health education courses to obtain health information were 50.9% (505/993), 32.9% (327/993), and 8.7% (86/993), respectively. After further adjustments for self-reported health status, the presence of health insurance, and monthly income, respondents who watched television and used the Internet to obtain health information were 1.7 times more likely to visit a doctor (television: adjusted odds ratio [AOR] 1.69, 95% CI 1.30-2.19; Internet: AOR 1.64, 95% CI 1.23-2.19), and also significantly associated with inpatient hospitalization (P=.003). CONCLUSIONS: The use of widely available mass media sources (</w:t>
      </w:r>
      <w:proofErr w:type="spellStart"/>
      <w:r w:rsidRPr="00573EEE">
        <w:rPr>
          <w:rFonts w:eastAsia="Times New Roman"/>
        </w:rPr>
        <w:t>eg</w:t>
      </w:r>
      <w:proofErr w:type="spellEnd"/>
      <w:r w:rsidRPr="00573EEE">
        <w:rPr>
          <w:rFonts w:eastAsia="Times New Roman"/>
        </w:rPr>
        <w:t>, television and the Internet) to obtain health information was associated with higher health care utilization. How this interest in health-related information can be used so that it will have a beneficial effect on care-seeking behavior should be a topic of concern to further health promotion in developing countries.</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2" w:name="m_-1474714270548722956__Toc502846083"/>
      <w:r w:rsidRPr="00573EEE">
        <w:rPr>
          <w:rFonts w:ascii="Calibri" w:eastAsia="Times New Roman" w:hAnsi="Calibri"/>
          <w:b/>
          <w:bCs/>
          <w:color w:val="800000"/>
          <w:sz w:val="22"/>
          <w:szCs w:val="22"/>
        </w:rPr>
        <w:t>Premarital sex, contraceptive use among unmarried women migrant workers in industrial parks in Vietnam, 2015.</w:t>
      </w:r>
      <w:bookmarkEnd w:id="52"/>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lastRenderedPageBreak/>
        <w:t xml:space="preserve">Tran </w:t>
      </w:r>
      <w:proofErr w:type="spellStart"/>
      <w:r w:rsidRPr="00573EEE">
        <w:rPr>
          <w:rFonts w:eastAsia="Times New Roman"/>
        </w:rPr>
        <w:t>Thi</w:t>
      </w:r>
      <w:proofErr w:type="spellEnd"/>
      <w:r w:rsidRPr="00573EEE">
        <w:rPr>
          <w:rFonts w:eastAsia="Times New Roman"/>
        </w:rPr>
        <w:t xml:space="preserve"> </w:t>
      </w:r>
      <w:proofErr w:type="spellStart"/>
      <w:r w:rsidRPr="00573EEE">
        <w:rPr>
          <w:rFonts w:eastAsia="Times New Roman"/>
        </w:rPr>
        <w:t>Duc</w:t>
      </w:r>
      <w:proofErr w:type="spellEnd"/>
      <w:r w:rsidRPr="00573EEE">
        <w:rPr>
          <w:rFonts w:eastAsia="Times New Roman"/>
        </w:rPr>
        <w:t xml:space="preserve"> Hanh, Duong Kim Tuan, Nguyen </w:t>
      </w:r>
      <w:proofErr w:type="spellStart"/>
      <w:r w:rsidRPr="00573EEE">
        <w:rPr>
          <w:rFonts w:eastAsia="Times New Roman"/>
        </w:rPr>
        <w:t>Duy</w:t>
      </w:r>
      <w:proofErr w:type="spellEnd"/>
      <w:r w:rsidRPr="00573EEE">
        <w:rPr>
          <w:rFonts w:eastAsia="Times New Roman"/>
        </w:rPr>
        <w:t xml:space="preserve"> Anh, Bui </w:t>
      </w:r>
      <w:proofErr w:type="spellStart"/>
      <w:r w:rsidRPr="00573EEE">
        <w:rPr>
          <w:rFonts w:eastAsia="Times New Roman"/>
        </w:rPr>
        <w:t>Thi</w:t>
      </w:r>
      <w:proofErr w:type="spellEnd"/>
      <w:r w:rsidRPr="00573EEE">
        <w:rPr>
          <w:rFonts w:eastAsia="Times New Roman"/>
        </w:rPr>
        <w:t xml:space="preserve"> Thu Ha and Le </w:t>
      </w:r>
      <w:proofErr w:type="spellStart"/>
      <w:r w:rsidRPr="00573EEE">
        <w:rPr>
          <w:rFonts w:eastAsia="Times New Roman"/>
        </w:rPr>
        <w:t>Thi</w:t>
      </w:r>
      <w:proofErr w:type="spellEnd"/>
      <w:r w:rsidRPr="00573EEE">
        <w:rPr>
          <w:rFonts w:eastAsia="Times New Roman"/>
        </w:rPr>
        <w:t xml:space="preserve"> Kim Anh.</w:t>
      </w:r>
      <w:proofErr w:type="gramEnd"/>
      <w:r w:rsidRPr="00573EEE">
        <w:rPr>
          <w:rFonts w:eastAsia="Times New Roman"/>
        </w:rPr>
        <w:t xml:space="preserve"> </w:t>
      </w:r>
      <w:proofErr w:type="gramStart"/>
      <w:r w:rsidRPr="00573EEE">
        <w:rPr>
          <w:rFonts w:eastAsia="Times New Roman"/>
        </w:rPr>
        <w:t>Health Care for Women International, 2017.</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Abstract: Most of internal female migrants are young, at risk of unintended pregnancy, unsafe abortion. This paper aims to describe premarital sexual behaviors and contraceptive use among unmarried female migrant workers in industrial parks, Vietnam. A cross-sectional survey was completed with a sample of 2996 workers aged 18</w:t>
      </w:r>
      <w:proofErr w:type="gramStart"/>
      <w:r w:rsidRPr="00573EEE">
        <w:rPr>
          <w:rFonts w:eastAsia="Times New Roman"/>
        </w:rPr>
        <w:t>?49</w:t>
      </w:r>
      <w:proofErr w:type="gramEnd"/>
      <w:r w:rsidRPr="00573EEE">
        <w:rPr>
          <w:rFonts w:eastAsia="Times New Roman"/>
        </w:rPr>
        <w:t>. We found that premarital sex rate was 12.6%. Most of them were inconsistent contraceptive users. About 27.8% did not use any contraception in the last 6 months. Condom was the most popular contraceptive used (61.3%) and obtained through pharmacies, kiosk systems. Contraceptive use was significantly associated with age, education, private companies, and income.</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53" w:name="m_-1474714270548722956__Toc502846084"/>
      <w:r w:rsidRPr="00573EEE">
        <w:rPr>
          <w:rFonts w:eastAsia="Times New Roman"/>
          <w:b/>
          <w:bCs/>
          <w:kern w:val="36"/>
          <w:sz w:val="48"/>
          <w:szCs w:val="48"/>
          <w:shd w:val="clear" w:color="auto" w:fill="D3D3D3"/>
        </w:rPr>
        <w:t>Science and Technology</w:t>
      </w:r>
      <w:bookmarkEnd w:id="53"/>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4" w:name="m_-1474714270548722956__Toc502846085"/>
      <w:r w:rsidRPr="00573EEE">
        <w:rPr>
          <w:rFonts w:ascii="Calibri" w:eastAsia="Times New Roman" w:hAnsi="Calibri"/>
          <w:b/>
          <w:bCs/>
          <w:color w:val="800000"/>
          <w:sz w:val="22"/>
          <w:szCs w:val="22"/>
        </w:rPr>
        <w:t>The (</w:t>
      </w:r>
      <w:proofErr w:type="spellStart"/>
      <w:r w:rsidRPr="00573EEE">
        <w:rPr>
          <w:rFonts w:ascii="Calibri" w:eastAsia="Times New Roman" w:hAnsi="Calibri"/>
          <w:b/>
          <w:bCs/>
          <w:color w:val="800000"/>
          <w:sz w:val="22"/>
          <w:szCs w:val="22"/>
        </w:rPr>
        <w:t>ir</w:t>
      </w:r>
      <w:proofErr w:type="spellEnd"/>
      <w:proofErr w:type="gramStart"/>
      <w:r w:rsidRPr="00573EEE">
        <w:rPr>
          <w:rFonts w:ascii="Calibri" w:eastAsia="Times New Roman" w:hAnsi="Calibri"/>
          <w:b/>
          <w:bCs/>
          <w:color w:val="800000"/>
          <w:sz w:val="22"/>
          <w:szCs w:val="22"/>
        </w:rPr>
        <w:t>)rational</w:t>
      </w:r>
      <w:proofErr w:type="gramEnd"/>
      <w:r w:rsidRPr="00573EEE">
        <w:rPr>
          <w:rFonts w:ascii="Calibri" w:eastAsia="Times New Roman" w:hAnsi="Calibri"/>
          <w:b/>
          <w:bCs/>
          <w:color w:val="800000"/>
          <w:sz w:val="22"/>
          <w:szCs w:val="22"/>
        </w:rPr>
        <w:t xml:space="preserve"> consideration of the cost of science in transition economies.</w:t>
      </w:r>
      <w:bookmarkEnd w:id="54"/>
    </w:p>
    <w:p w:rsidR="00573EEE" w:rsidRPr="00573EEE" w:rsidRDefault="00573EEE" w:rsidP="00573EEE">
      <w:pPr>
        <w:spacing w:before="100" w:beforeAutospacing="1" w:after="100" w:afterAutospacing="1"/>
        <w:rPr>
          <w:rFonts w:eastAsia="Times New Roman"/>
        </w:rPr>
      </w:pPr>
      <w:proofErr w:type="spellStart"/>
      <w:proofErr w:type="gramStart"/>
      <w:r w:rsidRPr="00573EEE">
        <w:rPr>
          <w:rFonts w:eastAsia="Times New Roman"/>
        </w:rPr>
        <w:t>Quan</w:t>
      </w:r>
      <w:proofErr w:type="spellEnd"/>
      <w:r w:rsidRPr="00573EEE">
        <w:rPr>
          <w:rFonts w:eastAsia="Times New Roman"/>
        </w:rPr>
        <w:t xml:space="preserve">-Hoang </w:t>
      </w:r>
      <w:proofErr w:type="spellStart"/>
      <w:r w:rsidRPr="00573EEE">
        <w:rPr>
          <w:rFonts w:eastAsia="Times New Roman"/>
        </w:rPr>
        <w:t>Vuong</w:t>
      </w:r>
      <w:proofErr w:type="spellEnd"/>
      <w:r w:rsidRPr="00573EEE">
        <w:rPr>
          <w:rFonts w:eastAsia="Times New Roman"/>
        </w:rPr>
        <w:t>.</w:t>
      </w:r>
      <w:proofErr w:type="gramEnd"/>
      <w:r w:rsidRPr="00573EEE">
        <w:rPr>
          <w:rFonts w:eastAsia="Times New Roman"/>
        </w:rPr>
        <w:t xml:space="preserve"> </w:t>
      </w:r>
      <w:proofErr w:type="gramStart"/>
      <w:r w:rsidRPr="00573EEE">
        <w:rPr>
          <w:rFonts w:eastAsia="Times New Roman"/>
        </w:rPr>
        <w:t xml:space="preserve">Nature Human </w:t>
      </w:r>
      <w:proofErr w:type="spellStart"/>
      <w:r w:rsidRPr="00573EEE">
        <w:rPr>
          <w:rFonts w:eastAsia="Times New Roman"/>
        </w:rPr>
        <w:t>Behaviour</w:t>
      </w:r>
      <w:proofErr w:type="spellEnd"/>
      <w:r w:rsidRPr="00573EEE">
        <w:rPr>
          <w:rFonts w:eastAsia="Times New Roman"/>
        </w:rPr>
        <w:t>, 2018.</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Science makes a substantial contribution to the economy of developing countries such as Vietnam and its costs must be put into perspective, argues </w:t>
      </w:r>
      <w:proofErr w:type="spellStart"/>
      <w:r w:rsidRPr="00573EEE">
        <w:rPr>
          <w:rFonts w:eastAsia="Times New Roman"/>
        </w:rPr>
        <w:t>Quan</w:t>
      </w:r>
      <w:proofErr w:type="spellEnd"/>
      <w:r w:rsidRPr="00573EEE">
        <w:rPr>
          <w:rFonts w:eastAsia="Times New Roman"/>
        </w:rPr>
        <w:t xml:space="preserve">-Hoang </w:t>
      </w:r>
      <w:proofErr w:type="spellStart"/>
      <w:r w:rsidRPr="00573EEE">
        <w:rPr>
          <w:rFonts w:eastAsia="Times New Roman"/>
        </w:rPr>
        <w:t>Vuong</w:t>
      </w:r>
      <w:proofErr w:type="spellEnd"/>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55" w:name="m_-1474714270548722956__Toc502846086"/>
      <w:r w:rsidRPr="00573EEE">
        <w:rPr>
          <w:rFonts w:eastAsia="Times New Roman"/>
          <w:b/>
          <w:bCs/>
          <w:kern w:val="36"/>
          <w:sz w:val="48"/>
          <w:szCs w:val="48"/>
          <w:shd w:val="clear" w:color="auto" w:fill="D3D3D3"/>
        </w:rPr>
        <w:t>Energy</w:t>
      </w:r>
      <w:bookmarkEnd w:id="55"/>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6" w:name="m_-1474714270548722956__Toc502846087"/>
      <w:proofErr w:type="gramStart"/>
      <w:r w:rsidRPr="00573EEE">
        <w:rPr>
          <w:rFonts w:ascii="Calibri" w:eastAsia="Times New Roman" w:hAnsi="Calibri"/>
          <w:b/>
          <w:bCs/>
          <w:color w:val="800000"/>
          <w:sz w:val="22"/>
          <w:szCs w:val="22"/>
        </w:rPr>
        <w:t>A blue energy option for the Mekong River Basin.</w:t>
      </w:r>
      <w:proofErr w:type="gramEnd"/>
      <w:r w:rsidRPr="00573EEE">
        <w:rPr>
          <w:rFonts w:ascii="Calibri" w:eastAsia="Times New Roman" w:hAnsi="Calibri"/>
          <w:b/>
          <w:bCs/>
          <w:color w:val="800000"/>
          <w:sz w:val="22"/>
          <w:szCs w:val="22"/>
        </w:rPr>
        <w:t xml:space="preserve"> </w:t>
      </w:r>
      <w:proofErr w:type="gramStart"/>
      <w:r w:rsidRPr="00573EEE">
        <w:rPr>
          <w:rFonts w:ascii="Calibri" w:eastAsia="Times New Roman" w:hAnsi="Calibri"/>
          <w:b/>
          <w:bCs/>
          <w:color w:val="800000"/>
          <w:sz w:val="22"/>
          <w:szCs w:val="22"/>
        </w:rPr>
        <w:t>An international law analysis on Asian regional cooperation in pioneer osmotic power projects.</w:t>
      </w:r>
      <w:bookmarkEnd w:id="56"/>
      <w:proofErr w:type="gramEnd"/>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Rafael M. Plaza.</w:t>
      </w:r>
      <w:proofErr w:type="gramEnd"/>
      <w:r w:rsidRPr="00573EEE">
        <w:rPr>
          <w:rFonts w:eastAsia="Times New Roman"/>
        </w:rPr>
        <w:t xml:space="preserve"> </w:t>
      </w:r>
      <w:proofErr w:type="gramStart"/>
      <w:r w:rsidRPr="00573EEE">
        <w:rPr>
          <w:rFonts w:eastAsia="Times New Roman"/>
        </w:rPr>
        <w:t>Sustainable Energy Technologies and Assessments, 2018, volume 25, pp. 75-98.</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Based on existing institutional and financial frameworks, the paper foresees Southeast Asian countries jointly tapping salinity gradient through a pilot project on the Mekong Basin. The paper delves on environmental, regulatory and economic challenges of introducing clean cutting-edge blue energy. It aims at encouraging the Mekong River Commission as regional cooperation framework to include it in its development strategy as a means to create a critical mass for cooperative </w:t>
      </w:r>
      <w:proofErr w:type="spellStart"/>
      <w:r w:rsidRPr="00573EEE">
        <w:rPr>
          <w:rFonts w:eastAsia="Times New Roman"/>
        </w:rPr>
        <w:t>R&amp;amp</w:t>
      </w:r>
      <w:proofErr w:type="gramStart"/>
      <w:r w:rsidRPr="00573EEE">
        <w:rPr>
          <w:rFonts w:eastAsia="Times New Roman"/>
        </w:rPr>
        <w:t>;D</w:t>
      </w:r>
      <w:proofErr w:type="spellEnd"/>
      <w:proofErr w:type="gramEnd"/>
      <w:r w:rsidRPr="00573EEE">
        <w:rPr>
          <w:rFonts w:eastAsia="Times New Roman"/>
        </w:rPr>
        <w:t>, take advantage of synergies among countries’ power generation and environmental conservancy plans, as well as to create opportunities for business, consumers and local authorities to partake in Asia’s low-carbon transition.</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57" w:name="m_-1474714270548722956__Toc502846088"/>
      <w:r w:rsidRPr="00573EEE">
        <w:rPr>
          <w:rFonts w:eastAsia="Times New Roman"/>
          <w:b/>
          <w:bCs/>
          <w:kern w:val="36"/>
          <w:sz w:val="48"/>
          <w:szCs w:val="48"/>
          <w:shd w:val="clear" w:color="auto" w:fill="D3D3D3"/>
        </w:rPr>
        <w:t>Labor</w:t>
      </w:r>
      <w:bookmarkEnd w:id="57"/>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8" w:name="m_-1474714270548722956__Toc502846089"/>
      <w:r w:rsidRPr="00573EEE">
        <w:rPr>
          <w:rFonts w:ascii="Calibri" w:eastAsia="Times New Roman" w:hAnsi="Calibri"/>
          <w:b/>
          <w:bCs/>
          <w:color w:val="800000"/>
          <w:sz w:val="22"/>
          <w:szCs w:val="22"/>
        </w:rPr>
        <w:t xml:space="preserve">Productivity and wage </w:t>
      </w:r>
      <w:proofErr w:type="gramStart"/>
      <w:r w:rsidRPr="00573EEE">
        <w:rPr>
          <w:rFonts w:ascii="Calibri" w:eastAsia="Times New Roman" w:hAnsi="Calibri"/>
          <w:b/>
          <w:bCs/>
          <w:color w:val="800000"/>
          <w:sz w:val="22"/>
          <w:szCs w:val="22"/>
        </w:rPr>
        <w:t>premiums :</w:t>
      </w:r>
      <w:proofErr w:type="gramEnd"/>
      <w:r w:rsidRPr="00573EEE">
        <w:rPr>
          <w:rFonts w:ascii="Calibri" w:eastAsia="Times New Roman" w:hAnsi="Calibri"/>
          <w:b/>
          <w:bCs/>
          <w:color w:val="800000"/>
          <w:sz w:val="22"/>
          <w:szCs w:val="22"/>
        </w:rPr>
        <w:t xml:space="preserve"> evidence from Vietnamese ordinary and processing exporters.</w:t>
      </w:r>
      <w:bookmarkEnd w:id="58"/>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 xml:space="preserve">Mai T.P. Vu, Flora </w:t>
      </w:r>
      <w:proofErr w:type="spellStart"/>
      <w:r w:rsidRPr="00573EEE">
        <w:rPr>
          <w:rFonts w:eastAsia="Times New Roman"/>
        </w:rPr>
        <w:t>Bellone</w:t>
      </w:r>
      <w:proofErr w:type="spellEnd"/>
      <w:r w:rsidRPr="00573EEE">
        <w:rPr>
          <w:rFonts w:eastAsia="Times New Roman"/>
        </w:rPr>
        <w:t xml:space="preserve"> and Marion </w:t>
      </w:r>
      <w:proofErr w:type="spellStart"/>
      <w:r w:rsidRPr="00573EEE">
        <w:rPr>
          <w:rFonts w:eastAsia="Times New Roman"/>
        </w:rPr>
        <w:t>Dovis</w:t>
      </w:r>
      <w:proofErr w:type="spellEnd"/>
      <w:r w:rsidRPr="00573EEE">
        <w:rPr>
          <w:rFonts w:eastAsia="Times New Roman"/>
        </w:rPr>
        <w:t>.</w:t>
      </w:r>
      <w:proofErr w:type="gramEnd"/>
      <w:r w:rsidRPr="00573EEE">
        <w:rPr>
          <w:rFonts w:eastAsia="Times New Roman"/>
        </w:rPr>
        <w:t xml:space="preserve"> GREDEG Working Paper No. 2017-36, 2017.</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4" w:tgtFrame="_blank" w:history="1">
        <w:r w:rsidRPr="00573EEE">
          <w:rPr>
            <w:rFonts w:eastAsia="Times New Roman"/>
            <w:color w:val="0000FF"/>
            <w:u w:val="single"/>
          </w:rPr>
          <w:t>http://www.gredeg.cnrs.fr/working-papers/GREDEG-WP-2017-36.pdf</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We propose some new stylized facts on Vietnamese exporters that emphasize firm heterogeneity in trade regimes and firm ownership. We show first that the distribution of firms export intensities is </w:t>
      </w:r>
      <w:proofErr w:type="spellStart"/>
      <w:r w:rsidRPr="00573EEE">
        <w:rPr>
          <w:rFonts w:eastAsia="Times New Roman"/>
        </w:rPr>
        <w:t>Ushaped</w:t>
      </w:r>
      <w:proofErr w:type="spellEnd"/>
      <w:r w:rsidRPr="00573EEE">
        <w:rPr>
          <w:rFonts w:eastAsia="Times New Roman"/>
        </w:rPr>
        <w:t xml:space="preserve"> with more than half of Vietnamese exporters exporting more than 50% of their output. This contrasts with the export patterns in industrialized countries but is similar to the export intensity distribution for other emerging economies with strong participation in global value chains. Second, we show that export </w:t>
      </w:r>
      <w:proofErr w:type="spellStart"/>
      <w:r w:rsidRPr="00573EEE">
        <w:rPr>
          <w:rFonts w:eastAsia="Times New Roman"/>
        </w:rPr>
        <w:t>premia</w:t>
      </w:r>
      <w:proofErr w:type="spellEnd"/>
      <w:r w:rsidRPr="00573EEE">
        <w:rPr>
          <w:rFonts w:eastAsia="Times New Roman"/>
        </w:rPr>
        <w:t xml:space="preserve">, evaluated in terms of both productivity and wage indexes, are positive only for Vietnamese exporters involved primarily in ordinary trade, and that processing </w:t>
      </w:r>
      <w:proofErr w:type="gramStart"/>
      <w:r w:rsidRPr="00573EEE">
        <w:rPr>
          <w:rFonts w:eastAsia="Times New Roman"/>
        </w:rPr>
        <w:t>exporters</w:t>
      </w:r>
      <w:proofErr w:type="gramEnd"/>
      <w:r w:rsidRPr="00573EEE">
        <w:rPr>
          <w:rFonts w:eastAsia="Times New Roman"/>
        </w:rPr>
        <w:t xml:space="preserve"> exhibit lower productivity indexes and pay lower wages than their non-exporting counterparts. This pattern is more pronounced among the group of foreign-owned firms in Vietnam compared to the group of domestic firms and is in line with previous findings for China.</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59" w:name="m_-1474714270548722956__Toc502846090"/>
      <w:proofErr w:type="gramStart"/>
      <w:r w:rsidRPr="00573EEE">
        <w:rPr>
          <w:rFonts w:ascii="Calibri" w:eastAsia="Times New Roman" w:hAnsi="Calibri"/>
          <w:b/>
          <w:bCs/>
          <w:color w:val="800000"/>
          <w:sz w:val="22"/>
          <w:szCs w:val="22"/>
        </w:rPr>
        <w:t xml:space="preserve">Legal Consciousness and Workers’ Resistance in </w:t>
      </w:r>
      <w:proofErr w:type="spellStart"/>
      <w:r w:rsidRPr="00573EEE">
        <w:rPr>
          <w:rFonts w:ascii="Calibri" w:eastAsia="Times New Roman" w:hAnsi="Calibri"/>
          <w:b/>
          <w:bCs/>
          <w:color w:val="800000"/>
          <w:sz w:val="22"/>
          <w:szCs w:val="22"/>
        </w:rPr>
        <w:t>Đ</w:t>
      </w:r>
      <w:r w:rsidRPr="00573EEE">
        <w:rPr>
          <w:rFonts w:ascii="Arial" w:eastAsia="Times New Roman" w:hAnsi="Arial" w:cs="Arial"/>
          <w:b/>
          <w:bCs/>
          <w:color w:val="800000"/>
          <w:sz w:val="22"/>
          <w:szCs w:val="22"/>
        </w:rPr>
        <w:t>ồ</w:t>
      </w:r>
      <w:r w:rsidRPr="00573EEE">
        <w:rPr>
          <w:rFonts w:ascii="Calibri" w:eastAsia="Times New Roman" w:hAnsi="Calibri"/>
          <w:b/>
          <w:bCs/>
          <w:color w:val="800000"/>
          <w:sz w:val="22"/>
          <w:szCs w:val="22"/>
        </w:rPr>
        <w:t>ng</w:t>
      </w:r>
      <w:proofErr w:type="spellEnd"/>
      <w:r w:rsidRPr="00573EEE">
        <w:rPr>
          <w:rFonts w:ascii="Calibri" w:eastAsia="Times New Roman" w:hAnsi="Calibri"/>
          <w:b/>
          <w:bCs/>
          <w:color w:val="800000"/>
          <w:sz w:val="22"/>
          <w:szCs w:val="22"/>
        </w:rPr>
        <w:t xml:space="preserve"> </w:t>
      </w:r>
      <w:proofErr w:type="spellStart"/>
      <w:r w:rsidRPr="00573EEE">
        <w:rPr>
          <w:rFonts w:ascii="Calibri" w:eastAsia="Times New Roman" w:hAnsi="Calibri"/>
          <w:b/>
          <w:bCs/>
          <w:color w:val="800000"/>
          <w:sz w:val="22"/>
          <w:szCs w:val="22"/>
        </w:rPr>
        <w:t>Nai</w:t>
      </w:r>
      <w:proofErr w:type="spellEnd"/>
      <w:r w:rsidRPr="00573EEE">
        <w:rPr>
          <w:rFonts w:ascii="Calibri" w:eastAsia="Times New Roman" w:hAnsi="Calibri"/>
          <w:b/>
          <w:bCs/>
          <w:color w:val="800000"/>
          <w:sz w:val="22"/>
          <w:szCs w:val="22"/>
        </w:rPr>
        <w:t xml:space="preserve"> Province, Vietnam.</w:t>
      </w:r>
      <w:bookmarkEnd w:id="59"/>
      <w:proofErr w:type="gramEnd"/>
    </w:p>
    <w:p w:rsidR="00573EEE" w:rsidRPr="00573EEE" w:rsidRDefault="00573EEE" w:rsidP="00573EEE">
      <w:pPr>
        <w:spacing w:before="100" w:beforeAutospacing="1" w:after="100" w:afterAutospacing="1"/>
        <w:rPr>
          <w:rFonts w:eastAsia="Times New Roman"/>
        </w:rPr>
      </w:pPr>
      <w:proofErr w:type="spellStart"/>
      <w:r w:rsidRPr="00573EEE">
        <w:rPr>
          <w:rFonts w:eastAsia="Times New Roman"/>
        </w:rPr>
        <w:lastRenderedPageBreak/>
        <w:t>Tu</w:t>
      </w:r>
      <w:proofErr w:type="spellEnd"/>
      <w:r w:rsidRPr="00573EEE">
        <w:rPr>
          <w:rFonts w:eastAsia="Times New Roman"/>
        </w:rPr>
        <w:t xml:space="preserve"> Phuong NGUYEN. Asian Journal of Comparative Law, 2017, volume 12, pp. 311–333.</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Free full text </w:t>
      </w:r>
      <w:hyperlink r:id="rId25" w:tgtFrame="_blank" w:history="1">
        <w:r w:rsidRPr="00573EEE">
          <w:rPr>
            <w:rFonts w:eastAsia="Times New Roman"/>
            <w:color w:val="0000FF"/>
            <w:u w:val="single"/>
          </w:rPr>
          <w:t>https://www.cambridge.org/core/services/aop-cambridge-core/content/view/0FB29495AB56FF2415DC35A7F367F350/S2194607817000187a.pdf/legal_consciousness_and_workers_resistance_in_dong_nai_province_vietnam.pdf</w:t>
        </w:r>
      </w:hyperlink>
      <w:r w:rsidRPr="00573EEE">
        <w:rPr>
          <w:rFonts w:eastAsia="Times New Roman"/>
        </w:rPr>
        <w:t>.</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This article examines how </w:t>
      </w:r>
      <w:proofErr w:type="spellStart"/>
      <w:r w:rsidRPr="00573EEE">
        <w:rPr>
          <w:rFonts w:eastAsia="Times New Roman"/>
        </w:rPr>
        <w:t>labour</w:t>
      </w:r>
      <w:proofErr w:type="spellEnd"/>
      <w:r w:rsidRPr="00573EEE">
        <w:rPr>
          <w:rFonts w:eastAsia="Times New Roman"/>
        </w:rPr>
        <w:t xml:space="preserve"> law contributes to </w:t>
      </w:r>
      <w:proofErr w:type="spellStart"/>
      <w:r w:rsidRPr="00573EEE">
        <w:rPr>
          <w:rFonts w:eastAsia="Times New Roman"/>
        </w:rPr>
        <w:t>labour</w:t>
      </w:r>
      <w:proofErr w:type="spellEnd"/>
      <w:r w:rsidRPr="00573EEE">
        <w:rPr>
          <w:rFonts w:eastAsia="Times New Roman"/>
        </w:rPr>
        <w:t xml:space="preserve"> resistance in Vietnam through an empirical case study of the ‘core workers’ in </w:t>
      </w:r>
      <w:proofErr w:type="spellStart"/>
      <w:r w:rsidRPr="00573EEE">
        <w:rPr>
          <w:rFonts w:eastAsia="Times New Roman"/>
        </w:rPr>
        <w:t>Đồng</w:t>
      </w:r>
      <w:proofErr w:type="spellEnd"/>
      <w:r w:rsidRPr="00573EEE">
        <w:rPr>
          <w:rFonts w:eastAsia="Times New Roman"/>
        </w:rPr>
        <w:t xml:space="preserve"> </w:t>
      </w:r>
      <w:proofErr w:type="spellStart"/>
      <w:r w:rsidRPr="00573EEE">
        <w:rPr>
          <w:rFonts w:eastAsia="Times New Roman"/>
        </w:rPr>
        <w:t>Nai</w:t>
      </w:r>
      <w:proofErr w:type="spellEnd"/>
      <w:r w:rsidRPr="00573EEE">
        <w:rPr>
          <w:rFonts w:eastAsia="Times New Roman"/>
        </w:rPr>
        <w:t xml:space="preserve"> Province. These core workers are factory workers who have undergone legal training and who provide legal aid to factory workers in need. They have, at the same time, deployed their legal knowledge to demand access to justice for themselves and the factory workers. This article demonstrates that the core workers’ legal consciousness is shaped by their mobilization of the law and their own workplace experiences. It then investigates in detail a core worker’s engagements with individual and collective disputes, and discusses his views on legal aid, </w:t>
      </w:r>
      <w:proofErr w:type="spellStart"/>
      <w:r w:rsidRPr="00573EEE">
        <w:rPr>
          <w:rFonts w:eastAsia="Times New Roman"/>
        </w:rPr>
        <w:t>labour</w:t>
      </w:r>
      <w:proofErr w:type="spellEnd"/>
      <w:r w:rsidRPr="00573EEE">
        <w:rPr>
          <w:rFonts w:eastAsia="Times New Roman"/>
        </w:rPr>
        <w:t xml:space="preserve"> law, and workplace relationships. This article argues that the core workers’ resistance is not only a fight against illegal practices, but that it also embodies a call for the management’s moral obligations towards its workers. </w:t>
      </w:r>
      <w:proofErr w:type="gramStart"/>
      <w:r w:rsidRPr="00573EEE">
        <w:rPr>
          <w:rFonts w:eastAsia="Times New Roman"/>
        </w:rPr>
        <w:t>[Tu-2017.pdf].</w:t>
      </w:r>
      <w:proofErr w:type="gramEnd"/>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outlineLvl w:val="0"/>
        <w:rPr>
          <w:rFonts w:eastAsia="Times New Roman"/>
          <w:b/>
          <w:bCs/>
          <w:kern w:val="36"/>
          <w:sz w:val="48"/>
          <w:szCs w:val="48"/>
        </w:rPr>
      </w:pPr>
      <w:bookmarkStart w:id="60" w:name="m_-1474714270548722956__Toc502846091"/>
      <w:r w:rsidRPr="00573EEE">
        <w:rPr>
          <w:rFonts w:eastAsia="Times New Roman"/>
          <w:b/>
          <w:bCs/>
          <w:kern w:val="36"/>
          <w:sz w:val="48"/>
          <w:szCs w:val="48"/>
          <w:shd w:val="clear" w:color="auto" w:fill="D3D3D3"/>
        </w:rPr>
        <w:t>Social development</w:t>
      </w:r>
      <w:bookmarkEnd w:id="60"/>
      <w:r w:rsidRPr="00573EEE">
        <w:rPr>
          <w:rFonts w:eastAsia="Times New Roman"/>
          <w:b/>
          <w:bCs/>
          <w:kern w:val="36"/>
          <w:sz w:val="48"/>
          <w:szCs w:val="48"/>
          <w:shd w:val="clear" w:color="auto" w:fill="D3D3D3"/>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outlineLvl w:val="1"/>
        <w:rPr>
          <w:rFonts w:eastAsia="Times New Roman"/>
          <w:b/>
          <w:bCs/>
          <w:sz w:val="36"/>
          <w:szCs w:val="36"/>
        </w:rPr>
      </w:pPr>
      <w:bookmarkStart w:id="61" w:name="m_-1474714270548722956__Toc502846092"/>
      <w:r w:rsidRPr="00573EEE">
        <w:rPr>
          <w:rFonts w:ascii="Calibri" w:eastAsia="Times New Roman" w:hAnsi="Calibri"/>
          <w:b/>
          <w:bCs/>
          <w:color w:val="800000"/>
          <w:sz w:val="22"/>
          <w:szCs w:val="22"/>
        </w:rPr>
        <w:t>Demographic Changes in Vietnam: Challenges for Old-age Support and Implications for Social Protection Policy.</w:t>
      </w:r>
      <w:bookmarkEnd w:id="61"/>
    </w:p>
    <w:p w:rsidR="00573EEE" w:rsidRPr="00573EEE" w:rsidRDefault="00573EEE" w:rsidP="00573EEE">
      <w:pPr>
        <w:spacing w:before="100" w:beforeAutospacing="1" w:after="100" w:afterAutospacing="1"/>
        <w:rPr>
          <w:rFonts w:eastAsia="Times New Roman"/>
        </w:rPr>
      </w:pPr>
      <w:proofErr w:type="gramStart"/>
      <w:r w:rsidRPr="00573EEE">
        <w:rPr>
          <w:rFonts w:eastAsia="Times New Roman"/>
        </w:rPr>
        <w:t>Dang Nguyen Anh.</w:t>
      </w:r>
      <w:proofErr w:type="gramEnd"/>
      <w:r w:rsidRPr="00573EEE">
        <w:rPr>
          <w:rFonts w:eastAsia="Times New Roman"/>
        </w:rPr>
        <w:t xml:space="preserve"> VNU Journal of Social Sciences and Humanities, 2017, volume 3, number 5.</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xml:space="preserve">Abstract: In this article, the author examines an important emerged question of policy and practice on how to adapt effectively to the demographic changes in today’s Vietnam. The dramatic decline of fertility, the demographic bonus, increased mobility, rising longevity and rapid population aging, in particular, have brought in both opportunities and challenges in the next 20 years. As Vietnamese society ages rapidly, the demand for formal aged and long-term care rises as well and there is a need for a more consolidated and coherent policy and reforming the current system of social pension and social protection. The author maintains that the fragmented programs and financing, inadequate services ò </w:t>
      </w:r>
      <w:proofErr w:type="spellStart"/>
      <w:r w:rsidRPr="00573EEE">
        <w:rPr>
          <w:rFonts w:eastAsia="Times New Roman"/>
        </w:rPr>
        <w:t>ola</w:t>
      </w:r>
      <w:proofErr w:type="spellEnd"/>
      <w:r w:rsidRPr="00573EEE">
        <w:rPr>
          <w:rFonts w:eastAsia="Times New Roman"/>
        </w:rPr>
        <w:t>-age care and support are a barrier to improve the effectiveness of social protection and pension scheme. Many implications and options for policy have been proposed and discussed to overcome the challenges. This will require significant investment, improved outreach, greater harmonization of information systems and development of qualified human resources for old-age care and support.</w:t>
      </w:r>
    </w:p>
    <w:p w:rsidR="00573EEE" w:rsidRPr="00573EEE" w:rsidRDefault="00573EEE" w:rsidP="00573EEE">
      <w:pPr>
        <w:spacing w:before="100" w:beforeAutospacing="1" w:after="100" w:afterAutospacing="1"/>
        <w:rPr>
          <w:rFonts w:eastAsia="Times New Roman"/>
        </w:rPr>
      </w:pPr>
      <w:r w:rsidRPr="00573EEE">
        <w:rPr>
          <w:rFonts w:eastAsia="Times New Roman"/>
        </w:rPr>
        <w:lastRenderedPageBreak/>
        <w:t> </w:t>
      </w:r>
    </w:p>
    <w:p w:rsidR="000D58FA" w:rsidRPr="000D58FA" w:rsidRDefault="000D58FA" w:rsidP="000D58FA">
      <w:pPr>
        <w:spacing w:before="100" w:beforeAutospacing="1" w:after="100" w:afterAutospacing="1"/>
        <w:rPr>
          <w:rFonts w:eastAsia="Times New Roman"/>
          <w:color w:val="0000FF"/>
          <w:u w:val="single"/>
        </w:rPr>
      </w:pPr>
      <w:hyperlink w:anchor="_top" w:history="1">
        <w:r w:rsidRPr="000D58FA">
          <w:rPr>
            <w:rStyle w:val="Hyperlink"/>
            <w:rFonts w:eastAsia="Times New Roman"/>
          </w:rPr>
          <w:t>Back to top</w:t>
        </w:r>
      </w:hyperlink>
    </w:p>
    <w:p w:rsidR="00573EEE" w:rsidRPr="00573EEE" w:rsidRDefault="00573EEE" w:rsidP="00573EEE">
      <w:pPr>
        <w:spacing w:before="100" w:beforeAutospacing="1" w:after="100" w:afterAutospacing="1"/>
        <w:rPr>
          <w:rFonts w:eastAsia="Times New Roman"/>
        </w:rPr>
      </w:pPr>
      <w:r w:rsidRPr="00573EEE">
        <w:rPr>
          <w:rFonts w:ascii="Arial" w:eastAsia="Times New Roman" w:hAnsi="Arial" w:cs="Arial"/>
          <w:b/>
          <w:bCs/>
        </w:rPr>
        <w:t>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w:t>
      </w:r>
    </w:p>
    <w:p w:rsidR="00573EEE" w:rsidRPr="00573EEE" w:rsidRDefault="00573EEE" w:rsidP="00573EEE">
      <w:pPr>
        <w:spacing w:before="100" w:beforeAutospacing="1" w:after="100" w:afterAutospacing="1"/>
        <w:rPr>
          <w:rFonts w:eastAsia="Times New Roman"/>
        </w:rPr>
      </w:pPr>
      <w:proofErr w:type="spellStart"/>
      <w:r w:rsidRPr="00573EEE">
        <w:rPr>
          <w:rFonts w:eastAsia="Times New Roman"/>
          <w:color w:val="1F3864"/>
        </w:rPr>
        <w:t>Vũ</w:t>
      </w:r>
      <w:proofErr w:type="spellEnd"/>
      <w:r w:rsidRPr="00573EEE">
        <w:rPr>
          <w:rFonts w:eastAsia="Times New Roman"/>
          <w:color w:val="1F3864"/>
        </w:rPr>
        <w:t xml:space="preserve"> </w:t>
      </w:r>
      <w:proofErr w:type="spellStart"/>
      <w:r w:rsidRPr="00573EEE">
        <w:rPr>
          <w:rFonts w:eastAsia="Times New Roman"/>
          <w:color w:val="1F3864"/>
        </w:rPr>
        <w:t>Thị</w:t>
      </w:r>
      <w:proofErr w:type="spellEnd"/>
      <w:r w:rsidRPr="00573EEE">
        <w:rPr>
          <w:rFonts w:eastAsia="Times New Roman"/>
          <w:color w:val="1F3864"/>
        </w:rPr>
        <w:t xml:space="preserve"> </w:t>
      </w:r>
      <w:proofErr w:type="spellStart"/>
      <w:r w:rsidRPr="00573EEE">
        <w:rPr>
          <w:rFonts w:eastAsia="Times New Roman"/>
          <w:color w:val="1F3864"/>
        </w:rPr>
        <w:t>Nha</w:t>
      </w:r>
      <w:proofErr w:type="spellEnd"/>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Librarian</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World Bank Group</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63 Ly Thai To, Hanoi, Vietnam</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Tel.: +84-4-3934 6845</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xml:space="preserve">Email: </w:t>
      </w:r>
      <w:hyperlink r:id="rId26" w:tgtFrame="_blank" w:history="1">
        <w:r w:rsidRPr="00573EEE">
          <w:rPr>
            <w:rFonts w:eastAsia="Times New Roman"/>
            <w:color w:val="1F3864"/>
            <w:u w:val="single"/>
          </w:rPr>
          <w:t>nvu2@worldbankgroup.org</w:t>
        </w:r>
      </w:hyperlink>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xml:space="preserve">World Bank Vietnam web site </w:t>
      </w:r>
      <w:hyperlink r:id="rId27" w:tgtFrame="_blank" w:history="1">
        <w:r w:rsidRPr="00573EEE">
          <w:rPr>
            <w:rFonts w:eastAsia="Times New Roman"/>
            <w:color w:val="1F3864"/>
            <w:u w:val="single"/>
          </w:rPr>
          <w:t>http://www.worldbank.org.vn</w:t>
        </w:r>
      </w:hyperlink>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xml:space="preserve">WB’s free documents and reports </w:t>
      </w:r>
      <w:hyperlink r:id="rId28" w:tgtFrame="_blank" w:history="1">
        <w:r w:rsidRPr="00573EEE">
          <w:rPr>
            <w:rFonts w:eastAsia="Times New Roman"/>
            <w:color w:val="1F3864"/>
            <w:u w:val="single"/>
          </w:rPr>
          <w:t>http://www.worldbank.org/documents</w:t>
        </w:r>
      </w:hyperlink>
      <w:r w:rsidRPr="00573EEE">
        <w:rPr>
          <w:rFonts w:eastAsia="Times New Roman"/>
          <w:color w:val="1F3864"/>
        </w:rPr>
        <w:t xml:space="preserve"> </w:t>
      </w:r>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xml:space="preserve">WB’s free publications &amp; research </w:t>
      </w:r>
      <w:hyperlink r:id="rId29" w:tgtFrame="_blank" w:history="1">
        <w:r w:rsidRPr="00573EEE">
          <w:rPr>
            <w:rFonts w:eastAsia="Times New Roman"/>
            <w:color w:val="1F3864"/>
            <w:u w:val="single"/>
          </w:rPr>
          <w:t>http://openknowledge.worldbank.org</w:t>
        </w:r>
      </w:hyperlink>
    </w:p>
    <w:p w:rsidR="00573EEE" w:rsidRPr="00573EEE" w:rsidRDefault="00573EEE" w:rsidP="00573EEE">
      <w:pPr>
        <w:spacing w:before="100" w:beforeAutospacing="1" w:after="100" w:afterAutospacing="1"/>
        <w:rPr>
          <w:rFonts w:eastAsia="Times New Roman"/>
        </w:rPr>
      </w:pPr>
      <w:r w:rsidRPr="00573EEE">
        <w:rPr>
          <w:rFonts w:eastAsia="Times New Roman"/>
          <w:color w:val="1F3864"/>
        </w:rPr>
        <w:t xml:space="preserve">WB’s free data &amp; statistics </w:t>
      </w:r>
      <w:hyperlink r:id="rId30" w:tgtFrame="_blank" w:history="1">
        <w:r w:rsidRPr="00573EEE">
          <w:rPr>
            <w:rFonts w:eastAsia="Times New Roman"/>
            <w:color w:val="1F3864"/>
            <w:u w:val="single"/>
          </w:rPr>
          <w:t>http://data.worldbank.org</w:t>
        </w:r>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573EEE" w:rsidRPr="00573EEE" w:rsidRDefault="00573EEE" w:rsidP="00573EEE">
      <w:pPr>
        <w:spacing w:before="100" w:beforeAutospacing="1" w:after="100" w:afterAutospacing="1"/>
        <w:rPr>
          <w:rFonts w:eastAsia="Times New Roman"/>
        </w:rPr>
      </w:pPr>
      <w:hyperlink w:anchor="m_-1474714270548722956__Toc502846033" w:history="1">
        <w:proofErr w:type="gramStart"/>
        <w:r w:rsidRPr="00573EEE">
          <w:rPr>
            <w:rStyle w:val="Hyperlink"/>
            <w:rFonts w:eastAsia="Times New Roman"/>
          </w:rPr>
          <w:t>m_-1474714270548722956__Toc502846033</w:t>
        </w:r>
        <w:proofErr w:type="gramEnd"/>
      </w:hyperlink>
    </w:p>
    <w:p w:rsidR="00573EEE" w:rsidRPr="00573EEE" w:rsidRDefault="00573EEE" w:rsidP="00573EEE">
      <w:pPr>
        <w:spacing w:before="100" w:beforeAutospacing="1" w:after="100" w:afterAutospacing="1"/>
        <w:rPr>
          <w:rFonts w:eastAsia="Times New Roman"/>
        </w:rPr>
      </w:pPr>
      <w:r w:rsidRPr="00573EEE">
        <w:rPr>
          <w:rFonts w:eastAsia="Times New Roman"/>
        </w:rPr>
        <w:t> </w:t>
      </w:r>
    </w:p>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20C37"/>
    <w:multiLevelType w:val="multilevel"/>
    <w:tmpl w:val="95B4B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F47A3B"/>
    <w:multiLevelType w:val="multilevel"/>
    <w:tmpl w:val="E8EAD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FB55F3"/>
    <w:multiLevelType w:val="multilevel"/>
    <w:tmpl w:val="4C8E3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6132BD"/>
    <w:multiLevelType w:val="multilevel"/>
    <w:tmpl w:val="85580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613EF5"/>
    <w:multiLevelType w:val="multilevel"/>
    <w:tmpl w:val="022CA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377941"/>
    <w:multiLevelType w:val="multilevel"/>
    <w:tmpl w:val="F1A2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86E75AA"/>
    <w:multiLevelType w:val="multilevel"/>
    <w:tmpl w:val="84346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2F6F83"/>
    <w:multiLevelType w:val="multilevel"/>
    <w:tmpl w:val="790E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A46C77"/>
    <w:multiLevelType w:val="multilevel"/>
    <w:tmpl w:val="C422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F125846"/>
    <w:multiLevelType w:val="multilevel"/>
    <w:tmpl w:val="8F3C6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4"/>
  </w:num>
  <w:num w:numId="4">
    <w:abstractNumId w:val="8"/>
  </w:num>
  <w:num w:numId="5">
    <w:abstractNumId w:val="7"/>
  </w:num>
  <w:num w:numId="6">
    <w:abstractNumId w:val="6"/>
  </w:num>
  <w:num w:numId="7">
    <w:abstractNumId w:val="0"/>
  </w:num>
  <w:num w:numId="8">
    <w:abstractNumId w:val="5"/>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EEE"/>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58FA"/>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D1D"/>
    <w:rsid w:val="001F1E9A"/>
    <w:rsid w:val="001F29FC"/>
    <w:rsid w:val="001F2B7E"/>
    <w:rsid w:val="001F3081"/>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3EE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70215"/>
    <w:rsid w:val="008707F5"/>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13294"/>
    <w:rsid w:val="00E205A4"/>
    <w:rsid w:val="00E21ABC"/>
    <w:rsid w:val="00E2295B"/>
    <w:rsid w:val="00E245A7"/>
    <w:rsid w:val="00E2500D"/>
    <w:rsid w:val="00E30519"/>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58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styleId="Hyperlink">
    <w:name w:val="Hyperlink"/>
    <w:basedOn w:val="DefaultParagraphFont"/>
    <w:uiPriority w:val="99"/>
    <w:unhideWhenUsed/>
    <w:rsid w:val="00573EEE"/>
    <w:rPr>
      <w:color w:val="0000FF" w:themeColor="hyperlink"/>
      <w:u w:val="single"/>
    </w:rPr>
  </w:style>
  <w:style w:type="character" w:styleId="FollowedHyperlink">
    <w:name w:val="FollowedHyperlink"/>
    <w:basedOn w:val="DefaultParagraphFont"/>
    <w:uiPriority w:val="99"/>
    <w:semiHidden/>
    <w:unhideWhenUsed/>
    <w:rsid w:val="000D58F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58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styleId="Hyperlink">
    <w:name w:val="Hyperlink"/>
    <w:basedOn w:val="DefaultParagraphFont"/>
    <w:uiPriority w:val="99"/>
    <w:unhideWhenUsed/>
    <w:rsid w:val="00573EEE"/>
    <w:rPr>
      <w:color w:val="0000FF" w:themeColor="hyperlink"/>
      <w:u w:val="single"/>
    </w:rPr>
  </w:style>
  <w:style w:type="character" w:styleId="FollowedHyperlink">
    <w:name w:val="FollowedHyperlink"/>
    <w:basedOn w:val="DefaultParagraphFont"/>
    <w:uiPriority w:val="99"/>
    <w:semiHidden/>
    <w:unhideWhenUsed/>
    <w:rsid w:val="000D58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799693">
      <w:bodyDiv w:val="1"/>
      <w:marLeft w:val="0"/>
      <w:marRight w:val="0"/>
      <w:marTop w:val="0"/>
      <w:marBottom w:val="0"/>
      <w:divBdr>
        <w:top w:val="none" w:sz="0" w:space="0" w:color="auto"/>
        <w:left w:val="none" w:sz="0" w:space="0" w:color="auto"/>
        <w:bottom w:val="none" w:sz="0" w:space="0" w:color="auto"/>
        <w:right w:val="none" w:sz="0" w:space="0" w:color="auto"/>
      </w:divBdr>
    </w:div>
    <w:div w:id="146611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7565529.2017.1411240" TargetMode="External"/><Relationship Id="rId13" Type="http://schemas.openxmlformats.org/officeDocument/2006/relationships/hyperlink" Target="http://www.irjaes.com/pdf/V2N4Y17-IRJAES/IRJAES-V2N4P359Y17.pdf" TargetMode="External"/><Relationship Id="rId18" Type="http://schemas.openxmlformats.org/officeDocument/2006/relationships/hyperlink" Target="https://mail.google.com/mail/u/0/?ui=2&amp;ik=98e23e7e7e&amp;view=lg&amp;msg=160d4c422adcc3a5" TargetMode="External"/><Relationship Id="rId26" Type="http://schemas.openxmlformats.org/officeDocument/2006/relationships/hyperlink" Target="mailto:nvu2@worldbankgroup.org" TargetMode="External"/><Relationship Id="rId3" Type="http://schemas.microsoft.com/office/2007/relationships/stylesWithEffects" Target="stylesWithEffects.xml"/><Relationship Id="rId21" Type="http://schemas.openxmlformats.org/officeDocument/2006/relationships/hyperlink" Target="https://equityhealthj.biomedcentral.com/articles/10.1186/s12939-017-0703-y" TargetMode="External"/><Relationship Id="rId7" Type="http://schemas.openxmlformats.org/officeDocument/2006/relationships/hyperlink" Target="http://dx.doi.org/10.1787/c81e00c6-en" TargetMode="External"/><Relationship Id="rId12" Type="http://schemas.openxmlformats.org/officeDocument/2006/relationships/hyperlink" Target="https://crawford.anu.edu.au/publication/crawford-school-working-papers/12021/political-economy-policy-exceptionalism-during" TargetMode="External"/><Relationship Id="rId17" Type="http://schemas.openxmlformats.org/officeDocument/2006/relationships/hyperlink" Target="https://www.sussex.ac.uk/webteam/gateway/file.php?name=wps-20-2017.pdf&amp;site=24" TargetMode="External"/><Relationship Id="rId25" Type="http://schemas.openxmlformats.org/officeDocument/2006/relationships/hyperlink" Target="https://www.cambridge.org/core/services/aop-cambridge-core/content/view/0FB29495AB56FF2415DC35A7F367F350/S2194607817000187a.pdf/legal_consciousness_and_workers_resistance_in_dong_nai_province_vietnam.pdf" TargetMode="External"/><Relationship Id="rId2" Type="http://schemas.openxmlformats.org/officeDocument/2006/relationships/styles" Target="styles.xml"/><Relationship Id="rId16" Type="http://schemas.openxmlformats.org/officeDocument/2006/relationships/hyperlink" Target="http://www.imf.org/en/Publications/WP/Issues/2017/12/21/FDI-Global-Value-Chains-and-Local-Sourcing-in-Developing-Countries-45513?cid=em-COM-123-36400" TargetMode="External"/><Relationship Id="rId20" Type="http://schemas.openxmlformats.org/officeDocument/2006/relationships/hyperlink" Target="https://www.cabdirect.org/cabdirect/abstract/20173384792" TargetMode="External"/><Relationship Id="rId29" Type="http://schemas.openxmlformats.org/officeDocument/2006/relationships/hyperlink" Target="http://openknowledge.worldbank.org/" TargetMode="External"/><Relationship Id="rId1" Type="http://schemas.openxmlformats.org/officeDocument/2006/relationships/numbering" Target="numbering.xml"/><Relationship Id="rId6" Type="http://schemas.openxmlformats.org/officeDocument/2006/relationships/hyperlink" Target="-1474714270548722956__Toc502846033" TargetMode="External"/><Relationship Id="rId11" Type="http://schemas.openxmlformats.org/officeDocument/2006/relationships/hyperlink" Target="http://orbi.ulg.ac.be/handle/2268/217153" TargetMode="External"/><Relationship Id="rId24" Type="http://schemas.openxmlformats.org/officeDocument/2006/relationships/hyperlink" Target="http://www.gredeg.cnrs.fr/working-papers/GREDEG-WP-2017-36.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dpi.com/2227-7099/6/1/1" TargetMode="External"/><Relationship Id="rId23" Type="http://schemas.openxmlformats.org/officeDocument/2006/relationships/hyperlink" Target="http://www.jmir.org/2017/12/e405/" TargetMode="External"/><Relationship Id="rId28" Type="http://schemas.openxmlformats.org/officeDocument/2006/relationships/hyperlink" Target="http://www.worldbank.org/documents" TargetMode="External"/><Relationship Id="rId10" Type="http://schemas.openxmlformats.org/officeDocument/2006/relationships/hyperlink" Target="https://www.uni-cms.de/index.php/jarts/article/download/2017110153667/925" TargetMode="External"/><Relationship Id="rId19" Type="http://schemas.openxmlformats.org/officeDocument/2006/relationships/hyperlink" Target="http://onlinelibrary.wiley.com/doi/10.1002/2017WR021344/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orldagroforestry.org/region/sea/publications/download?dl=/BK00201-17.pdf&amp;pubID=4231&amp;li=7520" TargetMode="External"/><Relationship Id="rId14" Type="http://schemas.openxmlformats.org/officeDocument/2006/relationships/hyperlink" Target="https://hal.archives-ouvertes.fr/hal-01653653/document" TargetMode="External"/><Relationship Id="rId22" Type="http://schemas.openxmlformats.org/officeDocument/2006/relationships/hyperlink" Target="https://doi.org/10.1007/s00787-017-1095-7" TargetMode="External"/><Relationship Id="rId27" Type="http://schemas.openxmlformats.org/officeDocument/2006/relationships/hyperlink" Target="http://www.worldbank.org.vn/" TargetMode="External"/><Relationship Id="rId30" Type="http://schemas.openxmlformats.org/officeDocument/2006/relationships/hyperlink" Target="http://data.world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35</Pages>
  <Words>13340</Words>
  <Characters>76038</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2018-01-08T15:22:00Z</dcterms:created>
  <dcterms:modified xsi:type="dcterms:W3CDTF">2018-01-08T16:19:00Z</dcterms:modified>
</cp:coreProperties>
</file>