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2A2" w:rsidRPr="001364A7" w:rsidRDefault="001364A7" w:rsidP="007C12A2">
      <w:pPr>
        <w:spacing w:before="100" w:beforeAutospacing="1" w:after="100" w:afterAutospacing="1"/>
        <w:rPr>
          <w:rFonts w:eastAsia="Times New Roman"/>
          <w:color w:val="C00000"/>
          <w:sz w:val="32"/>
          <w:szCs w:val="32"/>
        </w:rPr>
      </w:pPr>
      <w:bookmarkStart w:id="0" w:name="_top"/>
      <w:bookmarkEnd w:id="0"/>
      <w:r>
        <w:rPr>
          <w:rFonts w:eastAsia="Times New Roman"/>
          <w:b/>
          <w:bCs/>
          <w:color w:val="C00000"/>
          <w:sz w:val="32"/>
          <w:szCs w:val="32"/>
        </w:rPr>
        <w:t xml:space="preserve">World Bank - </w:t>
      </w:r>
      <w:r w:rsidR="007C12A2" w:rsidRPr="001364A7">
        <w:rPr>
          <w:rFonts w:eastAsia="Times New Roman"/>
          <w:b/>
          <w:bCs/>
          <w:color w:val="C00000"/>
          <w:sz w:val="32"/>
          <w:szCs w:val="32"/>
        </w:rPr>
        <w:t>New research on development issues in Vietnam - Volume 9, number 23 (2017 December 6)</w:t>
      </w:r>
    </w:p>
    <w:p w:rsidR="007C12A2" w:rsidRPr="007C12A2" w:rsidRDefault="007C12A2" w:rsidP="007C12A2">
      <w:pPr>
        <w:spacing w:before="100" w:beforeAutospacing="1" w:after="100" w:afterAutospacing="1"/>
        <w:rPr>
          <w:rFonts w:eastAsia="Times New Roman"/>
        </w:rPr>
      </w:pPr>
      <w:r w:rsidRPr="007C12A2">
        <w:rPr>
          <w:rFonts w:eastAsia="Times New Roman"/>
        </w:rPr>
        <w:t> </w:t>
      </w:r>
    </w:p>
    <w:p w:rsidR="007C12A2" w:rsidRPr="007C12A2" w:rsidRDefault="007C12A2" w:rsidP="00505987">
      <w:hyperlink w:anchor="m_-7077294561771739990__Toc500340572" w:history="1">
        <w:r w:rsidRPr="007C12A2">
          <w:rPr>
            <w:color w:val="0000FF"/>
            <w:u w:val="single"/>
          </w:rPr>
          <w:t xml:space="preserve">Agriculture and Rural </w:t>
        </w:r>
        <w:r w:rsidRPr="007C12A2">
          <w:rPr>
            <w:color w:val="0000FF"/>
            <w:u w:val="single"/>
          </w:rPr>
          <w:t>d</w:t>
        </w:r>
        <w:r w:rsidRPr="007C12A2">
          <w:rPr>
            <w:color w:val="0000FF"/>
            <w:u w:val="single"/>
          </w:rPr>
          <w:t>e</w:t>
        </w:r>
        <w:r w:rsidRPr="007C12A2">
          <w:rPr>
            <w:color w:val="0000FF"/>
            <w:u w:val="single"/>
          </w:rPr>
          <w:t>v</w:t>
        </w:r>
        <w:r w:rsidRPr="007C12A2">
          <w:rPr>
            <w:color w:val="0000FF"/>
            <w:u w:val="single"/>
          </w:rPr>
          <w:t>e</w:t>
        </w:r>
        <w:r w:rsidRPr="007C12A2">
          <w:rPr>
            <w:color w:val="0000FF"/>
            <w:u w:val="single"/>
          </w:rPr>
          <w:t>l</w:t>
        </w:r>
        <w:r w:rsidRPr="007C12A2">
          <w:rPr>
            <w:color w:val="0000FF"/>
            <w:u w:val="single"/>
          </w:rPr>
          <w:t>o</w:t>
        </w:r>
        <w:r w:rsidRPr="007C12A2">
          <w:rPr>
            <w:color w:val="0000FF"/>
            <w:u w:val="single"/>
          </w:rPr>
          <w:t>pment</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3" w:history="1">
        <w:r w:rsidRPr="007C12A2">
          <w:rPr>
            <w:rFonts w:eastAsia="Times New Roman"/>
            <w:color w:val="0000FF"/>
            <w:u w:val="single"/>
          </w:rPr>
          <w:t>Chapter 10 - H</w:t>
        </w:r>
        <w:r w:rsidRPr="007C12A2">
          <w:rPr>
            <w:rFonts w:eastAsia="Times New Roman"/>
            <w:color w:val="0000FF"/>
            <w:u w:val="single"/>
          </w:rPr>
          <w:t>o</w:t>
        </w:r>
        <w:r w:rsidRPr="007C12A2">
          <w:rPr>
            <w:rFonts w:eastAsia="Times New Roman"/>
            <w:color w:val="0000FF"/>
            <w:u w:val="single"/>
          </w:rPr>
          <w:t>w</w:t>
        </w:r>
        <w:r w:rsidRPr="007C12A2">
          <w:rPr>
            <w:rFonts w:eastAsia="Times New Roman"/>
            <w:color w:val="0000FF"/>
            <w:u w:val="single"/>
          </w:rPr>
          <w:t xml:space="preserve"> Ag</w:t>
        </w:r>
        <w:r w:rsidRPr="007C12A2">
          <w:rPr>
            <w:rFonts w:eastAsia="Times New Roman"/>
            <w:color w:val="0000FF"/>
            <w:u w:val="single"/>
          </w:rPr>
          <w:t>r</w:t>
        </w:r>
        <w:r w:rsidRPr="007C12A2">
          <w:rPr>
            <w:rFonts w:eastAsia="Times New Roman"/>
            <w:color w:val="0000FF"/>
            <w:u w:val="single"/>
          </w:rPr>
          <w:t>icultural Resea</w:t>
        </w:r>
        <w:r w:rsidRPr="007C12A2">
          <w:rPr>
            <w:rFonts w:eastAsia="Times New Roman"/>
            <w:color w:val="0000FF"/>
            <w:u w:val="single"/>
          </w:rPr>
          <w:t>r</w:t>
        </w:r>
        <w:r w:rsidRPr="007C12A2">
          <w:rPr>
            <w:rFonts w:eastAsia="Times New Roman"/>
            <w:color w:val="0000FF"/>
            <w:u w:val="single"/>
          </w:rPr>
          <w:t xml:space="preserve">ch for Development Can Make a Change: Assessing Livelihood Impacts in the Northwest </w:t>
        </w:r>
        <w:r w:rsidRPr="007C12A2">
          <w:rPr>
            <w:rFonts w:eastAsia="Times New Roman"/>
            <w:color w:val="0000FF"/>
            <w:u w:val="single"/>
          </w:rPr>
          <w:t>H</w:t>
        </w:r>
        <w:r w:rsidRPr="007C12A2">
          <w:rPr>
            <w:rFonts w:eastAsia="Times New Roman"/>
            <w:color w:val="0000FF"/>
            <w:u w:val="single"/>
          </w:rPr>
          <w:t>ighlands of Vietnam.</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4" w:history="1">
        <w:r w:rsidRPr="007C12A2">
          <w:rPr>
            <w:rFonts w:eastAsia="Times New Roman"/>
            <w:color w:val="0000FF"/>
            <w:u w:val="single"/>
          </w:rPr>
          <w:t xml:space="preserve">Cassava and </w:t>
        </w:r>
        <w:proofErr w:type="spellStart"/>
        <w:r w:rsidRPr="007C12A2">
          <w:rPr>
            <w:rFonts w:eastAsia="Times New Roman"/>
            <w:color w:val="0000FF"/>
            <w:u w:val="single"/>
          </w:rPr>
          <w:t>Sw</w:t>
        </w:r>
        <w:r w:rsidRPr="007C12A2">
          <w:rPr>
            <w:rFonts w:eastAsia="Times New Roman"/>
            <w:color w:val="0000FF"/>
            <w:u w:val="single"/>
          </w:rPr>
          <w:t>e</w:t>
        </w:r>
        <w:r w:rsidRPr="007C12A2">
          <w:rPr>
            <w:rFonts w:eastAsia="Times New Roman"/>
            <w:color w:val="0000FF"/>
            <w:u w:val="single"/>
          </w:rPr>
          <w:t>etpot</w:t>
        </w:r>
        <w:r w:rsidRPr="007C12A2">
          <w:rPr>
            <w:rFonts w:eastAsia="Times New Roman"/>
            <w:color w:val="0000FF"/>
            <w:u w:val="single"/>
          </w:rPr>
          <w:t>a</w:t>
        </w:r>
        <w:r w:rsidRPr="007C12A2">
          <w:rPr>
            <w:rFonts w:eastAsia="Times New Roman"/>
            <w:color w:val="0000FF"/>
            <w:u w:val="single"/>
          </w:rPr>
          <w:t>to</w:t>
        </w:r>
        <w:proofErr w:type="spellEnd"/>
        <w:r w:rsidRPr="007C12A2">
          <w:rPr>
            <w:rFonts w:eastAsia="Times New Roman"/>
            <w:color w:val="0000FF"/>
            <w:u w:val="single"/>
          </w:rPr>
          <w:t xml:space="preserve"> Cropping Practices and Farmer Communication Networks in </w:t>
        </w:r>
        <w:proofErr w:type="spellStart"/>
        <w:r w:rsidRPr="007C12A2">
          <w:rPr>
            <w:rFonts w:eastAsia="Times New Roman"/>
            <w:color w:val="0000FF"/>
            <w:u w:val="single"/>
          </w:rPr>
          <w:t>Quảng</w:t>
        </w:r>
        <w:proofErr w:type="spellEnd"/>
        <w:r w:rsidRPr="007C12A2">
          <w:rPr>
            <w:rFonts w:eastAsia="Times New Roman"/>
            <w:color w:val="0000FF"/>
            <w:u w:val="single"/>
          </w:rPr>
          <w:t xml:space="preserve"> </w:t>
        </w:r>
        <w:proofErr w:type="spellStart"/>
        <w:r w:rsidRPr="007C12A2">
          <w:rPr>
            <w:rFonts w:eastAsia="Times New Roman"/>
            <w:color w:val="0000FF"/>
            <w:u w:val="single"/>
          </w:rPr>
          <w:t>Bình</w:t>
        </w:r>
        <w:proofErr w:type="spellEnd"/>
        <w:r w:rsidRPr="007C12A2">
          <w:rPr>
            <w:rFonts w:eastAsia="Times New Roman"/>
            <w:color w:val="0000FF"/>
            <w:u w:val="single"/>
          </w:rPr>
          <w:t xml:space="preserve"> Provin</w:t>
        </w:r>
        <w:r w:rsidRPr="007C12A2">
          <w:rPr>
            <w:rFonts w:eastAsia="Times New Roman"/>
            <w:color w:val="0000FF"/>
            <w:u w:val="single"/>
          </w:rPr>
          <w:t>c</w:t>
        </w:r>
        <w:r w:rsidRPr="007C12A2">
          <w:rPr>
            <w:rFonts w:eastAsia="Times New Roman"/>
            <w:color w:val="0000FF"/>
            <w:u w:val="single"/>
          </w:rPr>
          <w:t>e, Vietnam: Identifying Gaps between Existing Root and Tuber Crops Farming Practices and Climate Smart Agriculture Practices and Characterizing Communication Systems to Support Livelihoods.</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5" w:history="1">
        <w:r w:rsidRPr="007C12A2">
          <w:rPr>
            <w:rFonts w:eastAsia="Times New Roman"/>
            <w:color w:val="0000FF"/>
            <w:u w:val="single"/>
          </w:rPr>
          <w:t>Decreased use of pesticides for increased yields of rice and fish-options for sustainable food production in the Mekong Delta.</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6" w:history="1">
        <w:r w:rsidRPr="007C12A2">
          <w:rPr>
            <w:rFonts w:eastAsia="Times New Roman"/>
            <w:color w:val="0000FF"/>
            <w:u w:val="single"/>
          </w:rPr>
          <w:t>Green supply chain: Solutions to improve the</w:t>
        </w:r>
        <w:r w:rsidRPr="007C12A2">
          <w:rPr>
            <w:rFonts w:eastAsia="Times New Roman"/>
            <w:color w:val="0000FF"/>
            <w:u w:val="single"/>
          </w:rPr>
          <w:t xml:space="preserve"> </w:t>
        </w:r>
        <w:r w:rsidRPr="007C12A2">
          <w:rPr>
            <w:rFonts w:eastAsia="Times New Roman"/>
            <w:color w:val="0000FF"/>
            <w:u w:val="single"/>
          </w:rPr>
          <w:t>competitiveness of Thai Nguyen tea.</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7" w:history="1">
        <w:r w:rsidRPr="007C12A2">
          <w:rPr>
            <w:rFonts w:eastAsia="Times New Roman"/>
            <w:color w:val="0000FF"/>
            <w:u w:val="single"/>
          </w:rPr>
          <w:t xml:space="preserve">An international comparison of rice consumption </w:t>
        </w:r>
        <w:proofErr w:type="spellStart"/>
        <w:r w:rsidRPr="007C12A2">
          <w:rPr>
            <w:rFonts w:eastAsia="Times New Roman"/>
            <w:color w:val="0000FF"/>
            <w:u w:val="single"/>
          </w:rPr>
          <w:t>behaviours</w:t>
        </w:r>
        <w:proofErr w:type="spellEnd"/>
        <w:r w:rsidRPr="007C12A2">
          <w:rPr>
            <w:rFonts w:eastAsia="Times New Roman"/>
            <w:color w:val="0000FF"/>
            <w:u w:val="single"/>
          </w:rPr>
          <w:t xml:space="preserve"> and greenhouse gas emissions from rice production.</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8" w:history="1">
        <w:r w:rsidRPr="007C12A2">
          <w:rPr>
            <w:rFonts w:eastAsia="Times New Roman"/>
            <w:color w:val="0000FF"/>
            <w:u w:val="single"/>
          </w:rPr>
          <w:t>Social Forestry - why and for whom? A comparison of policies in Vietnam and Indonesia.</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79" w:history="1">
        <w:r w:rsidRPr="007C12A2">
          <w:rPr>
            <w:rFonts w:eastAsia="Times New Roman"/>
            <w:color w:val="0000FF"/>
            <w:u w:val="single"/>
          </w:rPr>
          <w:t>Barriers to Imp</w:t>
        </w:r>
        <w:r w:rsidRPr="007C12A2">
          <w:rPr>
            <w:rFonts w:eastAsia="Times New Roman"/>
            <w:color w:val="0000FF"/>
            <w:u w:val="single"/>
          </w:rPr>
          <w:t>l</w:t>
        </w:r>
        <w:r w:rsidRPr="007C12A2">
          <w:rPr>
            <w:rFonts w:eastAsia="Times New Roman"/>
            <w:color w:val="0000FF"/>
            <w:u w:val="single"/>
          </w:rPr>
          <w:t xml:space="preserve">ementing Irrigation and Drainage Policies in </w:t>
        </w:r>
        <w:proofErr w:type="gramStart"/>
        <w:r w:rsidRPr="007C12A2">
          <w:rPr>
            <w:rFonts w:eastAsia="Times New Roman"/>
            <w:color w:val="0000FF"/>
            <w:u w:val="single"/>
          </w:rPr>
          <w:t>An</w:t>
        </w:r>
        <w:proofErr w:type="gramEnd"/>
        <w:r w:rsidRPr="007C12A2">
          <w:rPr>
            <w:rFonts w:eastAsia="Times New Roman"/>
            <w:color w:val="0000FF"/>
            <w:u w:val="single"/>
          </w:rPr>
          <w:t xml:space="preserve"> </w:t>
        </w:r>
        <w:proofErr w:type="spellStart"/>
        <w:r w:rsidRPr="007C12A2">
          <w:rPr>
            <w:rFonts w:eastAsia="Times New Roman"/>
            <w:color w:val="0000FF"/>
            <w:u w:val="single"/>
          </w:rPr>
          <w:t>Giang</w:t>
        </w:r>
        <w:proofErr w:type="spellEnd"/>
        <w:r w:rsidRPr="007C12A2">
          <w:rPr>
            <w:rFonts w:eastAsia="Times New Roman"/>
            <w:color w:val="0000FF"/>
            <w:u w:val="single"/>
          </w:rPr>
          <w:t xml:space="preserve"> Province, Mekong Delta, Vietnam.</w:t>
        </w:r>
      </w:hyperlink>
    </w:p>
    <w:p w:rsidR="007C12A2" w:rsidRPr="007C12A2" w:rsidRDefault="007C12A2" w:rsidP="007C12A2">
      <w:pPr>
        <w:numPr>
          <w:ilvl w:val="0"/>
          <w:numId w:val="19"/>
        </w:numPr>
        <w:spacing w:before="100" w:beforeAutospacing="1" w:after="100" w:afterAutospacing="1"/>
        <w:rPr>
          <w:rFonts w:eastAsia="Times New Roman"/>
        </w:rPr>
      </w:pPr>
      <w:hyperlink w:anchor="m_-7077294561771739990__Toc500340580" w:history="1">
        <w:r w:rsidRPr="007C12A2">
          <w:rPr>
            <w:rFonts w:eastAsia="Times New Roman"/>
            <w:color w:val="0000FF"/>
            <w:u w:val="single"/>
          </w:rPr>
          <w:t>Social learning through rural communities of practice: Empirical evidence from farming households in the Vietnamese Mekong Delta.</w:t>
        </w:r>
      </w:hyperlink>
    </w:p>
    <w:p w:rsidR="007C12A2" w:rsidRPr="007C12A2" w:rsidRDefault="007C12A2" w:rsidP="007C12A2">
      <w:pPr>
        <w:spacing w:before="100" w:beforeAutospacing="1" w:after="100" w:afterAutospacing="1"/>
        <w:rPr>
          <w:rFonts w:eastAsia="Times New Roman"/>
        </w:rPr>
      </w:pPr>
      <w:hyperlink w:anchor="m_-7077294561771739990__Toc500340581" w:history="1">
        <w:r w:rsidRPr="007C12A2">
          <w:rPr>
            <w:rFonts w:eastAsia="Times New Roman"/>
            <w:color w:val="0000FF"/>
            <w:u w:val="single"/>
          </w:rPr>
          <w:t>Economic development</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2" w:history="1">
        <w:r w:rsidRPr="007C12A2">
          <w:rPr>
            <w:rFonts w:eastAsia="Times New Roman"/>
            <w:color w:val="0000FF"/>
            <w:u w:val="single"/>
          </w:rPr>
          <w:t>Competition Policy and SME Development in Vietnam.</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3" w:history="1">
        <w:r w:rsidRPr="007C12A2">
          <w:rPr>
            <w:rFonts w:eastAsia="Times New Roman"/>
            <w:color w:val="0000FF"/>
            <w:u w:val="single"/>
          </w:rPr>
          <w:t>Vietnamese State-owned Enterprises under International Economic Integration.</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4" w:history="1">
        <w:r w:rsidRPr="007C12A2">
          <w:rPr>
            <w:rFonts w:eastAsia="Times New Roman"/>
            <w:color w:val="0000FF"/>
            <w:u w:val="single"/>
          </w:rPr>
          <w:t>Does Economic Growth Increase Inequality</w:t>
        </w:r>
        <w:proofErr w:type="gramStart"/>
        <w:r w:rsidRPr="007C12A2">
          <w:rPr>
            <w:rFonts w:eastAsia="Times New Roman"/>
            <w:color w:val="0000FF"/>
            <w:u w:val="single"/>
          </w:rPr>
          <w:t>?:</w:t>
        </w:r>
        <w:proofErr w:type="gramEnd"/>
        <w:r w:rsidRPr="007C12A2">
          <w:rPr>
            <w:rFonts w:eastAsia="Times New Roman"/>
            <w:color w:val="0000FF"/>
            <w:u w:val="single"/>
          </w:rPr>
          <w:t xml:space="preserve"> An Empirical Analysis for ASEAN Countries, China and India.</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5" w:history="1">
        <w:r w:rsidRPr="007C12A2">
          <w:rPr>
            <w:rFonts w:eastAsia="Times New Roman"/>
            <w:color w:val="0000FF"/>
            <w:u w:val="single"/>
          </w:rPr>
          <w:t>Current Status and Traits of the Auto Parts Industry in Viet Nam.</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6" w:history="1">
        <w:r w:rsidRPr="007C12A2">
          <w:rPr>
            <w:rFonts w:eastAsia="Times New Roman"/>
            <w:color w:val="0000FF"/>
            <w:u w:val="single"/>
          </w:rPr>
          <w:t>Where do the advanced countries in</w:t>
        </w:r>
        <w:r w:rsidRPr="007C12A2">
          <w:rPr>
            <w:rFonts w:eastAsia="Times New Roman"/>
            <w:color w:val="0000FF"/>
            <w:u w:val="single"/>
          </w:rPr>
          <w:t>v</w:t>
        </w:r>
        <w:r w:rsidRPr="007C12A2">
          <w:rPr>
            <w:rFonts w:eastAsia="Times New Roman"/>
            <w:color w:val="0000FF"/>
            <w:u w:val="single"/>
          </w:rPr>
          <w:t>est? An investigation of capital flows from advanced countries to emerging economies.</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7" w:history="1">
        <w:r w:rsidRPr="007C12A2">
          <w:rPr>
            <w:rFonts w:eastAsia="Times New Roman"/>
            <w:color w:val="0000FF"/>
            <w:u w:val="single"/>
          </w:rPr>
          <w:t>Assessing the Impacts of Deeper Trade Reform in Vietnam in a General Equilibrium Framework.</w:t>
        </w:r>
      </w:hyperlink>
    </w:p>
    <w:p w:rsidR="007C12A2" w:rsidRPr="007C12A2" w:rsidRDefault="007C12A2" w:rsidP="007C12A2">
      <w:pPr>
        <w:numPr>
          <w:ilvl w:val="0"/>
          <w:numId w:val="20"/>
        </w:numPr>
        <w:spacing w:before="100" w:beforeAutospacing="1" w:after="100" w:afterAutospacing="1"/>
        <w:rPr>
          <w:rFonts w:eastAsia="Times New Roman"/>
        </w:rPr>
      </w:pPr>
      <w:hyperlink w:anchor="m_-7077294561771739990__Toc500340588" w:history="1">
        <w:r w:rsidRPr="007C12A2">
          <w:rPr>
            <w:rFonts w:eastAsia="Times New Roman"/>
            <w:color w:val="0000FF"/>
            <w:u w:val="single"/>
          </w:rPr>
          <w:t>The Welfare and Sectoral Adjustment Effects of Mega-Regional Trade Agreements on ASEAN Countries.</w:t>
        </w:r>
      </w:hyperlink>
    </w:p>
    <w:p w:rsidR="007C12A2" w:rsidRPr="007C12A2" w:rsidRDefault="007C12A2" w:rsidP="007C12A2">
      <w:pPr>
        <w:spacing w:before="100" w:beforeAutospacing="1" w:after="100" w:afterAutospacing="1"/>
        <w:rPr>
          <w:rFonts w:eastAsia="Times New Roman"/>
        </w:rPr>
      </w:pPr>
      <w:hyperlink w:anchor="m_-7077294561771739990__Toc500340589" w:history="1">
        <w:r w:rsidRPr="007C12A2">
          <w:rPr>
            <w:rFonts w:eastAsia="Times New Roman"/>
            <w:color w:val="0000FF"/>
            <w:u w:val="single"/>
          </w:rPr>
          <w:t>Education</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0" w:history="1">
        <w:r w:rsidRPr="007C12A2">
          <w:rPr>
            <w:rFonts w:eastAsia="Times New Roman"/>
            <w:color w:val="0000FF"/>
            <w:u w:val="single"/>
          </w:rPr>
          <w:t>Young Lives School Surveys 2016–17: The Design and Development of Transferable Skills Tests in India and Vietnam.</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1" w:history="1">
        <w:r w:rsidRPr="007C12A2">
          <w:rPr>
            <w:rFonts w:eastAsia="Times New Roman"/>
            <w:color w:val="0000FF"/>
            <w:u w:val="single"/>
          </w:rPr>
          <w:t>Youth transition to employment in Vietnam: a vulnerable path.</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2" w:history="1">
        <w:r w:rsidRPr="007C12A2">
          <w:rPr>
            <w:rFonts w:eastAsia="Times New Roman"/>
            <w:color w:val="0000FF"/>
            <w:u w:val="single"/>
          </w:rPr>
          <w:t>'How Many Rooms Are There in Your House?' Constructing the Young Lives Wealth Index.</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3" w:history="1">
        <w:r w:rsidRPr="007C12A2">
          <w:rPr>
            <w:rFonts w:eastAsia="Times New Roman"/>
            <w:color w:val="0000FF"/>
            <w:u w:val="single"/>
          </w:rPr>
          <w:t>Developing employability skills via extra-curricular activities in Vietnamese universities: student engagement and inhibitors of their engagement.</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4" w:history="1">
        <w:r w:rsidRPr="007C12A2">
          <w:rPr>
            <w:rFonts w:eastAsia="Times New Roman"/>
            <w:color w:val="0000FF"/>
            <w:u w:val="single"/>
          </w:rPr>
          <w:t>Demographic factors as determinants of social scientists’ productivity: SDC-based Scopus data, 2008-2017.</w:t>
        </w:r>
      </w:hyperlink>
    </w:p>
    <w:p w:rsidR="007C12A2" w:rsidRPr="007C12A2" w:rsidRDefault="007C12A2" w:rsidP="007C12A2">
      <w:pPr>
        <w:numPr>
          <w:ilvl w:val="0"/>
          <w:numId w:val="21"/>
        </w:numPr>
        <w:spacing w:before="100" w:beforeAutospacing="1" w:after="100" w:afterAutospacing="1"/>
        <w:rPr>
          <w:rFonts w:eastAsia="Times New Roman"/>
        </w:rPr>
      </w:pPr>
      <w:hyperlink w:anchor="m_-7077294561771739990__Toc500340595" w:history="1">
        <w:r w:rsidRPr="007C12A2">
          <w:rPr>
            <w:rFonts w:eastAsia="Times New Roman"/>
            <w:color w:val="0000FF"/>
            <w:u w:val="single"/>
          </w:rPr>
          <w:t>On the Sustainability of Co-Authoring Behaviors in Vietnamese Social Sciences: A Preliminary Analysis of Network Data.</w:t>
        </w:r>
      </w:hyperlink>
    </w:p>
    <w:p w:rsidR="007C12A2" w:rsidRPr="007C12A2" w:rsidRDefault="007C12A2" w:rsidP="007C12A2">
      <w:pPr>
        <w:spacing w:before="100" w:beforeAutospacing="1" w:after="100" w:afterAutospacing="1"/>
        <w:rPr>
          <w:rFonts w:eastAsia="Times New Roman"/>
        </w:rPr>
      </w:pPr>
      <w:hyperlink w:anchor="m_-7077294561771739990__Toc500340596" w:history="1">
        <w:r w:rsidRPr="007C12A2">
          <w:rPr>
            <w:rFonts w:eastAsia="Times New Roman"/>
            <w:color w:val="0000FF"/>
            <w:u w:val="single"/>
          </w:rPr>
          <w:t>Environment</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597" w:history="1">
        <w:r w:rsidRPr="007C12A2">
          <w:rPr>
            <w:rFonts w:eastAsia="Times New Roman"/>
            <w:color w:val="0000FF"/>
            <w:u w:val="single"/>
          </w:rPr>
          <w:t xml:space="preserve">Chapter 5 - A Voluntary Model of Payment for Environmental Services: Lessons </w:t>
        </w:r>
        <w:proofErr w:type="gramStart"/>
        <w:r w:rsidRPr="007C12A2">
          <w:rPr>
            <w:rFonts w:eastAsia="Times New Roman"/>
            <w:color w:val="0000FF"/>
            <w:u w:val="single"/>
          </w:rPr>
          <w:t>From</w:t>
        </w:r>
        <w:proofErr w:type="gramEnd"/>
        <w:r w:rsidRPr="007C12A2">
          <w:rPr>
            <w:rFonts w:eastAsia="Times New Roman"/>
            <w:color w:val="0000FF"/>
            <w:u w:val="single"/>
          </w:rPr>
          <w:t xml:space="preserve"> Ba Be District, Bac </w:t>
        </w:r>
        <w:proofErr w:type="spellStart"/>
        <w:r w:rsidRPr="007C12A2">
          <w:rPr>
            <w:rFonts w:eastAsia="Times New Roman"/>
            <w:color w:val="0000FF"/>
            <w:u w:val="single"/>
          </w:rPr>
          <w:t>Kan</w:t>
        </w:r>
        <w:proofErr w:type="spellEnd"/>
        <w:r w:rsidRPr="007C12A2">
          <w:rPr>
            <w:rFonts w:eastAsia="Times New Roman"/>
            <w:color w:val="0000FF"/>
            <w:u w:val="single"/>
          </w:rPr>
          <w:t xml:space="preserve"> Province of Vietnam.</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598" w:history="1">
        <w:r w:rsidRPr="007C12A2">
          <w:rPr>
            <w:rFonts w:eastAsia="Times New Roman"/>
            <w:color w:val="0000FF"/>
            <w:u w:val="single"/>
          </w:rPr>
          <w:t>Chapter 15 - Navigating Complexities and Management Prospects of Natural Resources in Northern Vietnam.</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599" w:history="1">
        <w:r w:rsidRPr="007C12A2">
          <w:rPr>
            <w:rFonts w:eastAsia="Times New Roman"/>
            <w:color w:val="0000FF"/>
            <w:u w:val="single"/>
          </w:rPr>
          <w:t>Product-Related Environmental Regulation, Innovation, and Competitiveness: Empirical Evidence from Malaysian and Vietnamese Firms.</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0" w:history="1">
        <w:r w:rsidRPr="007C12A2">
          <w:rPr>
            <w:rFonts w:eastAsia="Times New Roman"/>
            <w:color w:val="0000FF"/>
            <w:u w:val="single"/>
          </w:rPr>
          <w:t>Factors influencing the management effectiveness of the biosphere reserve model: The case of Vietnam [PhD Thesis].</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1" w:history="1">
        <w:r w:rsidRPr="007C12A2">
          <w:rPr>
            <w:rFonts w:eastAsia="Times New Roman"/>
            <w:color w:val="0000FF"/>
            <w:u w:val="single"/>
          </w:rPr>
          <w:t>Chapter 3 - Assessing and Calculating a Climate Change Vulnerability Index for Agriculture Production in the Red River Delta, Vietnam.</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2" w:history="1">
        <w:r w:rsidRPr="007C12A2">
          <w:rPr>
            <w:rFonts w:eastAsia="Times New Roman"/>
            <w:color w:val="0000FF"/>
            <w:u w:val="single"/>
          </w:rPr>
          <w:t xml:space="preserve">10 - Co-management model on urban riverbank erosion management in Can </w:t>
        </w:r>
        <w:proofErr w:type="spellStart"/>
        <w:r w:rsidRPr="007C12A2">
          <w:rPr>
            <w:rFonts w:eastAsia="Times New Roman"/>
            <w:color w:val="0000FF"/>
            <w:u w:val="single"/>
          </w:rPr>
          <w:t>Tho</w:t>
        </w:r>
        <w:proofErr w:type="spellEnd"/>
        <w:r w:rsidRPr="007C12A2">
          <w:rPr>
            <w:rFonts w:eastAsia="Times New Roman"/>
            <w:color w:val="0000FF"/>
            <w:u w:val="single"/>
          </w:rPr>
          <w:t xml:space="preserve"> city, Vietnam A2 - Shaw, </w:t>
        </w:r>
        <w:proofErr w:type="spellStart"/>
        <w:r w:rsidRPr="007C12A2">
          <w:rPr>
            <w:rFonts w:eastAsia="Times New Roman"/>
            <w:color w:val="0000FF"/>
            <w:u w:val="single"/>
          </w:rPr>
          <w:t>Rajib</w:t>
        </w:r>
        <w:proofErr w:type="spellEnd"/>
        <w:r w:rsidRPr="007C12A2">
          <w:rPr>
            <w:rFonts w:eastAsia="Times New Roman"/>
            <w:color w:val="0000FF"/>
            <w:u w:val="single"/>
          </w:rPr>
          <w:t>.</w:t>
        </w:r>
      </w:hyperlink>
    </w:p>
    <w:p w:rsidR="007C12A2" w:rsidRPr="007C12A2" w:rsidRDefault="007C12A2" w:rsidP="007C12A2">
      <w:pPr>
        <w:numPr>
          <w:ilvl w:val="0"/>
          <w:numId w:val="22"/>
        </w:numPr>
        <w:spacing w:before="100" w:beforeAutospacing="1" w:after="100" w:afterAutospacing="1"/>
        <w:rPr>
          <w:rFonts w:eastAsia="Times New Roman"/>
        </w:rPr>
      </w:pPr>
      <w:hyperlink w:anchor="m_4291730070264197121__Toc500340603" w:history="1">
        <w:r w:rsidRPr="007C12A2">
          <w:rPr>
            <w:rFonts w:eastAsia="Times New Roman"/>
            <w:color w:val="0000FF"/>
            <w:u w:val="single"/>
          </w:rPr>
          <w:t>Design and implementation of site-specific rainfall-induced landslide early warning and monitoring system: a case study at Nam Dan landslide (Vietnam).</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4" w:history="1">
        <w:r w:rsidRPr="007C12A2">
          <w:rPr>
            <w:rFonts w:eastAsia="Times New Roman"/>
            <w:color w:val="0000FF"/>
            <w:u w:val="single"/>
          </w:rPr>
          <w:t>RCP8.5-Based Future Flood Hazard Analysis for the Lower Mekong River Basin.</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5" w:history="1">
        <w:r w:rsidRPr="007C12A2">
          <w:rPr>
            <w:rFonts w:eastAsia="Times New Roman"/>
            <w:color w:val="0000FF"/>
            <w:u w:val="single"/>
          </w:rPr>
          <w:t xml:space="preserve">Greenhouse Gas Emissions, Energy Consumption and Economic Growth: A Panel </w:t>
        </w:r>
        <w:proofErr w:type="spellStart"/>
        <w:r w:rsidRPr="007C12A2">
          <w:rPr>
            <w:rFonts w:eastAsia="Times New Roman"/>
            <w:color w:val="0000FF"/>
            <w:u w:val="single"/>
          </w:rPr>
          <w:t>Cointegration</w:t>
        </w:r>
        <w:proofErr w:type="spellEnd"/>
        <w:r w:rsidRPr="007C12A2">
          <w:rPr>
            <w:rFonts w:eastAsia="Times New Roman"/>
            <w:color w:val="0000FF"/>
            <w:u w:val="single"/>
          </w:rPr>
          <w:t xml:space="preserve"> Analysis for 16 Asian Countries.</w:t>
        </w:r>
      </w:hyperlink>
    </w:p>
    <w:p w:rsidR="007C12A2" w:rsidRPr="007C12A2" w:rsidRDefault="007C12A2" w:rsidP="007C12A2">
      <w:pPr>
        <w:numPr>
          <w:ilvl w:val="0"/>
          <w:numId w:val="22"/>
        </w:numPr>
        <w:spacing w:before="100" w:beforeAutospacing="1" w:after="100" w:afterAutospacing="1"/>
        <w:rPr>
          <w:rFonts w:eastAsia="Times New Roman"/>
        </w:rPr>
      </w:pPr>
      <w:hyperlink w:anchor="m_-7077294561771739990__Toc500340606" w:history="1">
        <w:r w:rsidRPr="007C12A2">
          <w:rPr>
            <w:rFonts w:eastAsia="Times New Roman"/>
            <w:color w:val="0000FF"/>
            <w:u w:val="single"/>
          </w:rPr>
          <w:t>Some results of study on present situ</w:t>
        </w:r>
        <w:r w:rsidRPr="007C12A2">
          <w:rPr>
            <w:rFonts w:eastAsia="Times New Roman"/>
            <w:color w:val="0000FF"/>
            <w:u w:val="single"/>
          </w:rPr>
          <w:t>a</w:t>
        </w:r>
        <w:r w:rsidRPr="007C12A2">
          <w:rPr>
            <w:rFonts w:eastAsia="Times New Roman"/>
            <w:color w:val="0000FF"/>
            <w:u w:val="single"/>
          </w:rPr>
          <w:t>tion of household solid waste in Hanoi, Vietnam.</w:t>
        </w:r>
      </w:hyperlink>
    </w:p>
    <w:p w:rsidR="007C12A2" w:rsidRPr="007C12A2" w:rsidRDefault="007C12A2" w:rsidP="007C12A2">
      <w:pPr>
        <w:spacing w:before="100" w:beforeAutospacing="1" w:after="100" w:afterAutospacing="1"/>
        <w:rPr>
          <w:rFonts w:eastAsia="Times New Roman"/>
        </w:rPr>
      </w:pPr>
      <w:hyperlink w:anchor="m_-7077294561771739990__Toc500340607" w:history="1">
        <w:r w:rsidRPr="007C12A2">
          <w:rPr>
            <w:rFonts w:eastAsia="Times New Roman"/>
            <w:color w:val="0000FF"/>
            <w:u w:val="single"/>
          </w:rPr>
          <w:t>Governance</w:t>
        </w:r>
      </w:hyperlink>
    </w:p>
    <w:p w:rsidR="007C12A2" w:rsidRPr="007C12A2" w:rsidRDefault="007C12A2" w:rsidP="007C12A2">
      <w:pPr>
        <w:numPr>
          <w:ilvl w:val="0"/>
          <w:numId w:val="23"/>
        </w:numPr>
        <w:spacing w:before="100" w:beforeAutospacing="1" w:after="100" w:afterAutospacing="1"/>
        <w:rPr>
          <w:rFonts w:eastAsia="Times New Roman"/>
        </w:rPr>
      </w:pPr>
      <w:hyperlink w:anchor="m_-7077294561771739990__Toc500340608" w:history="1">
        <w:r w:rsidRPr="007C12A2">
          <w:rPr>
            <w:rFonts w:eastAsia="Times New Roman"/>
            <w:color w:val="0000FF"/>
            <w:u w:val="single"/>
          </w:rPr>
          <w:t>14 - Corruption in Vietnam: The current situation and proposed solutions.</w:t>
        </w:r>
      </w:hyperlink>
    </w:p>
    <w:p w:rsidR="007C12A2" w:rsidRPr="007C12A2" w:rsidRDefault="007C12A2" w:rsidP="007C12A2">
      <w:pPr>
        <w:numPr>
          <w:ilvl w:val="0"/>
          <w:numId w:val="23"/>
        </w:numPr>
        <w:spacing w:before="100" w:beforeAutospacing="1" w:after="100" w:afterAutospacing="1"/>
        <w:rPr>
          <w:rFonts w:eastAsia="Times New Roman"/>
        </w:rPr>
      </w:pPr>
      <w:hyperlink w:anchor="m_-7077294561771739990__Toc500340609" w:history="1">
        <w:r w:rsidRPr="007C12A2">
          <w:rPr>
            <w:rFonts w:eastAsia="Times New Roman"/>
            <w:color w:val="0000FF"/>
            <w:u w:val="single"/>
          </w:rPr>
          <w:t xml:space="preserve">Bribery and Its Implications on Entrepreneurship in the Informal Economy: Evidence </w:t>
        </w:r>
        <w:proofErr w:type="gramStart"/>
        <w:r w:rsidRPr="007C12A2">
          <w:rPr>
            <w:rFonts w:eastAsia="Times New Roman"/>
            <w:color w:val="0000FF"/>
            <w:u w:val="single"/>
          </w:rPr>
          <w:t>From</w:t>
        </w:r>
        <w:proofErr w:type="gramEnd"/>
        <w:r w:rsidRPr="007C12A2">
          <w:rPr>
            <w:rFonts w:eastAsia="Times New Roman"/>
            <w:color w:val="0000FF"/>
            <w:u w:val="single"/>
          </w:rPr>
          <w:t xml:space="preserve"> Vietnam.</w:t>
        </w:r>
      </w:hyperlink>
    </w:p>
    <w:p w:rsidR="007C12A2" w:rsidRPr="007C12A2" w:rsidRDefault="007C12A2" w:rsidP="007C12A2">
      <w:pPr>
        <w:numPr>
          <w:ilvl w:val="0"/>
          <w:numId w:val="23"/>
        </w:numPr>
        <w:spacing w:before="100" w:beforeAutospacing="1" w:after="100" w:afterAutospacing="1"/>
        <w:rPr>
          <w:rFonts w:eastAsia="Times New Roman"/>
        </w:rPr>
      </w:pPr>
      <w:hyperlink w:anchor="m_-7077294561771739990__Toc500340610" w:history="1">
        <w:r w:rsidRPr="007C12A2">
          <w:rPr>
            <w:rFonts w:eastAsia="Times New Roman"/>
            <w:color w:val="0000FF"/>
            <w:u w:val="single"/>
          </w:rPr>
          <w:t>Chapter 7 - The Role of Land-Use Planning on Socioeconomic Development in Mai Chau District, Vietnam.</w:t>
        </w:r>
      </w:hyperlink>
    </w:p>
    <w:p w:rsidR="007C12A2" w:rsidRPr="007C12A2" w:rsidRDefault="007C12A2" w:rsidP="007C12A2">
      <w:pPr>
        <w:numPr>
          <w:ilvl w:val="0"/>
          <w:numId w:val="23"/>
        </w:numPr>
        <w:spacing w:before="100" w:beforeAutospacing="1" w:after="100" w:afterAutospacing="1"/>
        <w:rPr>
          <w:rFonts w:eastAsia="Times New Roman"/>
        </w:rPr>
      </w:pPr>
      <w:hyperlink w:anchor="m_-7077294561771739990__Toc500340611" w:history="1">
        <w:r w:rsidRPr="007C12A2">
          <w:rPr>
            <w:rFonts w:eastAsia="Times New Roman"/>
            <w:color w:val="0000FF"/>
            <w:u w:val="single"/>
          </w:rPr>
          <w:t xml:space="preserve">Developing a Spatial Decision Support System for Rationality Assessment of Land Use Planning Locations in Thai </w:t>
        </w:r>
        <w:proofErr w:type="spellStart"/>
        <w:r w:rsidRPr="007C12A2">
          <w:rPr>
            <w:rFonts w:eastAsia="Times New Roman"/>
            <w:color w:val="0000FF"/>
            <w:u w:val="single"/>
          </w:rPr>
          <w:t>Binh</w:t>
        </w:r>
        <w:proofErr w:type="spellEnd"/>
        <w:r w:rsidRPr="007C12A2">
          <w:rPr>
            <w:rFonts w:eastAsia="Times New Roman"/>
            <w:color w:val="0000FF"/>
            <w:u w:val="single"/>
          </w:rPr>
          <w:t xml:space="preserve"> Provinc</w:t>
        </w:r>
        <w:r w:rsidRPr="007C12A2">
          <w:rPr>
            <w:rFonts w:eastAsia="Times New Roman"/>
            <w:color w:val="0000FF"/>
            <w:u w:val="single"/>
          </w:rPr>
          <w:t>e</w:t>
        </w:r>
        <w:r w:rsidRPr="007C12A2">
          <w:rPr>
            <w:rFonts w:eastAsia="Times New Roman"/>
            <w:color w:val="0000FF"/>
            <w:u w:val="single"/>
          </w:rPr>
          <w:t>, Vietnam.</w:t>
        </w:r>
      </w:hyperlink>
    </w:p>
    <w:p w:rsidR="007C12A2" w:rsidRPr="007C12A2" w:rsidRDefault="007C12A2" w:rsidP="007C12A2">
      <w:pPr>
        <w:spacing w:before="100" w:beforeAutospacing="1" w:after="100" w:afterAutospacing="1"/>
        <w:rPr>
          <w:rFonts w:eastAsia="Times New Roman"/>
        </w:rPr>
      </w:pPr>
      <w:hyperlink w:anchor="m_-7077294561771739990__Toc500340612" w:history="1">
        <w:r w:rsidRPr="007C12A2">
          <w:rPr>
            <w:rFonts w:eastAsia="Times New Roman"/>
            <w:color w:val="0000FF"/>
            <w:u w:val="single"/>
          </w:rPr>
          <w:t>Healthcare</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3" w:history="1">
        <w:r w:rsidRPr="007C12A2">
          <w:rPr>
            <w:rFonts w:eastAsia="Times New Roman"/>
            <w:color w:val="0000FF"/>
            <w:u w:val="single"/>
          </w:rPr>
          <w:t>Improving human health outcomes with a low-cost intervention to reduce exposures from lead acid battery recycling: Dong Mai, Vietnam.</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4" w:history="1">
        <w:r w:rsidRPr="007C12A2">
          <w:rPr>
            <w:rFonts w:eastAsia="Times New Roman"/>
            <w:color w:val="0000FF"/>
            <w:u w:val="single"/>
          </w:rPr>
          <w:t>Trauma registry implementation in low- and middle-income countries: challenges and opportunities.</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5" w:history="1">
        <w:r w:rsidRPr="007C12A2">
          <w:rPr>
            <w:rFonts w:eastAsia="Times New Roman"/>
            <w:color w:val="0000FF"/>
            <w:u w:val="single"/>
          </w:rPr>
          <w:t>Childhood overweight and obesity in preschool children – an emerging problem in urban and rural Vietnam: A study of epidemiology and associated factors.</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6" w:history="1">
        <w:r w:rsidRPr="007C12A2">
          <w:rPr>
            <w:rFonts w:eastAsia="Times New Roman"/>
            <w:color w:val="0000FF"/>
            <w:u w:val="single"/>
          </w:rPr>
          <w:t>Evaluation of an integrated multisector campaign to increase child helmet use in Vietnam.</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7" w:history="1">
        <w:r w:rsidRPr="007C12A2">
          <w:rPr>
            <w:rFonts w:eastAsia="Times New Roman"/>
            <w:color w:val="0000FF"/>
            <w:u w:val="single"/>
          </w:rPr>
          <w:t>Public attitudes towards psychiatrists in the metropolitan area of Hanoi, Vietnam.</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8" w:history="1">
        <w:r w:rsidRPr="007C12A2">
          <w:rPr>
            <w:rFonts w:eastAsia="Times New Roman"/>
            <w:color w:val="0000FF"/>
            <w:u w:val="single"/>
          </w:rPr>
          <w:t>Alcohol taxes' contribution to prices in high and middle-income countries: Data from the International Alcohol Control Study.</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19" w:history="1">
        <w:r w:rsidRPr="007C12A2">
          <w:rPr>
            <w:rFonts w:eastAsia="Times New Roman"/>
            <w:color w:val="0000FF"/>
            <w:u w:val="single"/>
          </w:rPr>
          <w:t>Acute effects of ambient air pollution on lower respiratory infections in Hanoi children: An eight-year time series study.</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20" w:history="1">
        <w:r w:rsidRPr="007C12A2">
          <w:rPr>
            <w:rFonts w:eastAsia="Times New Roman"/>
            <w:color w:val="0000FF"/>
            <w:u w:val="single"/>
          </w:rPr>
          <w:t>Criteria for prioritization of HIV programs in Viet Nam: a discrete choice experiment.</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21" w:history="1">
        <w:r w:rsidRPr="007C12A2">
          <w:rPr>
            <w:rFonts w:eastAsia="Times New Roman"/>
            <w:color w:val="0000FF"/>
            <w:u w:val="single"/>
          </w:rPr>
          <w:t>Knowledge of Sexuality and Reproductive Health of People with Physical Disabilities in Vietnam.</w:t>
        </w:r>
      </w:hyperlink>
    </w:p>
    <w:p w:rsidR="007C12A2" w:rsidRPr="007C12A2" w:rsidRDefault="007C12A2" w:rsidP="007C12A2">
      <w:pPr>
        <w:numPr>
          <w:ilvl w:val="0"/>
          <w:numId w:val="24"/>
        </w:numPr>
        <w:spacing w:before="100" w:beforeAutospacing="1" w:after="100" w:afterAutospacing="1"/>
        <w:rPr>
          <w:rFonts w:eastAsia="Times New Roman"/>
        </w:rPr>
      </w:pPr>
      <w:hyperlink w:anchor="m_-7077294561771739990__Toc500340622" w:history="1">
        <w:r w:rsidRPr="007C12A2">
          <w:rPr>
            <w:rFonts w:eastAsia="Times New Roman"/>
            <w:color w:val="0000FF"/>
            <w:u w:val="single"/>
          </w:rPr>
          <w:t>Progress On Maternal Health Care In Vietnam: Findings From Vietnam Multiple Indicator Cluster Survey 2000, 2006, 2011 And 2014.</w:t>
        </w:r>
      </w:hyperlink>
    </w:p>
    <w:p w:rsidR="007C12A2" w:rsidRPr="007C12A2" w:rsidRDefault="007C12A2" w:rsidP="007C12A2">
      <w:pPr>
        <w:spacing w:before="100" w:beforeAutospacing="1" w:after="100" w:afterAutospacing="1"/>
        <w:rPr>
          <w:rFonts w:eastAsia="Times New Roman"/>
        </w:rPr>
      </w:pPr>
      <w:hyperlink w:anchor="m_-7077294561771739990__Toc500340623" w:history="1">
        <w:r w:rsidRPr="007C12A2">
          <w:rPr>
            <w:rFonts w:eastAsia="Times New Roman"/>
            <w:color w:val="0000FF"/>
            <w:u w:val="single"/>
          </w:rPr>
          <w:t>Law</w:t>
        </w:r>
      </w:hyperlink>
    </w:p>
    <w:p w:rsidR="007C12A2" w:rsidRPr="007C12A2" w:rsidRDefault="007C12A2" w:rsidP="007C12A2">
      <w:pPr>
        <w:numPr>
          <w:ilvl w:val="0"/>
          <w:numId w:val="25"/>
        </w:numPr>
        <w:spacing w:before="100" w:beforeAutospacing="1" w:after="100" w:afterAutospacing="1"/>
        <w:rPr>
          <w:rFonts w:eastAsia="Times New Roman"/>
        </w:rPr>
      </w:pPr>
      <w:hyperlink w:anchor="m_-7077294561771739990__Toc500340624" w:history="1">
        <w:r w:rsidRPr="007C12A2">
          <w:rPr>
            <w:rFonts w:eastAsia="Times New Roman"/>
            <w:color w:val="0000FF"/>
            <w:u w:val="single"/>
          </w:rPr>
          <w:t>The Law of China and Vietnam in Comparative Law.</w:t>
        </w:r>
      </w:hyperlink>
    </w:p>
    <w:p w:rsidR="007C12A2" w:rsidRPr="007C12A2" w:rsidRDefault="007C12A2" w:rsidP="007C12A2">
      <w:pPr>
        <w:spacing w:before="100" w:beforeAutospacing="1" w:after="100" w:afterAutospacing="1"/>
        <w:rPr>
          <w:rFonts w:eastAsia="Times New Roman"/>
        </w:rPr>
      </w:pPr>
      <w:hyperlink w:anchor="m_-7077294561771739990__Toc500340625" w:history="1">
        <w:r w:rsidRPr="007C12A2">
          <w:rPr>
            <w:rFonts w:eastAsia="Times New Roman"/>
            <w:color w:val="0000FF"/>
            <w:u w:val="single"/>
          </w:rPr>
          <w:t>Social development</w:t>
        </w:r>
      </w:hyperlink>
    </w:p>
    <w:p w:rsidR="007C12A2" w:rsidRPr="007C12A2" w:rsidRDefault="007C12A2" w:rsidP="007C12A2">
      <w:pPr>
        <w:numPr>
          <w:ilvl w:val="0"/>
          <w:numId w:val="26"/>
        </w:numPr>
        <w:spacing w:before="100" w:beforeAutospacing="1" w:after="100" w:afterAutospacing="1"/>
        <w:rPr>
          <w:rFonts w:eastAsia="Times New Roman"/>
        </w:rPr>
      </w:pPr>
      <w:hyperlink w:anchor="m_-7077294561771739990__Toc500340626" w:history="1">
        <w:r w:rsidRPr="007C12A2">
          <w:rPr>
            <w:rFonts w:eastAsia="Times New Roman"/>
            <w:color w:val="0000FF"/>
            <w:u w:val="single"/>
          </w:rPr>
          <w:t>Towards a Typology of Social Work Assessments: Developing practice in Malaysia, Nepal, United Kingdom and Vietnam.</w:t>
        </w:r>
      </w:hyperlink>
    </w:p>
    <w:p w:rsidR="007C12A2" w:rsidRPr="007C12A2" w:rsidRDefault="007C12A2" w:rsidP="007C12A2">
      <w:pPr>
        <w:spacing w:before="100" w:beforeAutospacing="1" w:after="100" w:afterAutospacing="1"/>
        <w:rPr>
          <w:rFonts w:eastAsia="Times New Roman"/>
        </w:rPr>
      </w:pPr>
      <w:hyperlink w:anchor="m_-7077294561771739990__Toc500340627" w:history="1">
        <w:r w:rsidRPr="007C12A2">
          <w:rPr>
            <w:rFonts w:eastAsia="Times New Roman"/>
            <w:color w:val="0000FF"/>
            <w:u w:val="single"/>
          </w:rPr>
          <w:t>Tourism</w:t>
        </w:r>
      </w:hyperlink>
    </w:p>
    <w:p w:rsidR="007C12A2" w:rsidRPr="007C12A2" w:rsidRDefault="007C12A2" w:rsidP="007C12A2">
      <w:pPr>
        <w:numPr>
          <w:ilvl w:val="0"/>
          <w:numId w:val="27"/>
        </w:numPr>
        <w:spacing w:before="100" w:beforeAutospacing="1" w:after="100" w:afterAutospacing="1"/>
        <w:rPr>
          <w:rFonts w:eastAsia="Times New Roman"/>
        </w:rPr>
      </w:pPr>
      <w:hyperlink w:anchor="m_-7077294561771739990__Toc500340628" w:history="1">
        <w:r w:rsidRPr="007C12A2">
          <w:rPr>
            <w:rFonts w:eastAsia="Times New Roman"/>
            <w:color w:val="0000FF"/>
            <w:u w:val="single"/>
          </w:rPr>
          <w:t xml:space="preserve">Carrying Capacity in Vietnamese National Parks: A Case Study of </w:t>
        </w:r>
        <w:proofErr w:type="spellStart"/>
        <w:r w:rsidRPr="007C12A2">
          <w:rPr>
            <w:rFonts w:eastAsia="Times New Roman"/>
            <w:color w:val="0000FF"/>
            <w:u w:val="single"/>
          </w:rPr>
          <w:t>Phong</w:t>
        </w:r>
        <w:proofErr w:type="spellEnd"/>
        <w:r w:rsidRPr="007C12A2">
          <w:rPr>
            <w:rFonts w:eastAsia="Times New Roman"/>
            <w:color w:val="0000FF"/>
            <w:u w:val="single"/>
          </w:rPr>
          <w:t xml:space="preserve"> </w:t>
        </w:r>
        <w:proofErr w:type="spellStart"/>
        <w:r w:rsidRPr="007C12A2">
          <w:rPr>
            <w:rFonts w:eastAsia="Times New Roman"/>
            <w:color w:val="0000FF"/>
            <w:u w:val="single"/>
          </w:rPr>
          <w:t>Nha-Ke</w:t>
        </w:r>
        <w:proofErr w:type="spellEnd"/>
        <w:r w:rsidRPr="007C12A2">
          <w:rPr>
            <w:rFonts w:eastAsia="Times New Roman"/>
            <w:color w:val="0000FF"/>
            <w:u w:val="single"/>
          </w:rPr>
          <w:t xml:space="preserve"> Bang.</w:t>
        </w:r>
      </w:hyperlink>
    </w:p>
    <w:p w:rsidR="007C12A2" w:rsidRPr="007C12A2" w:rsidRDefault="007C12A2" w:rsidP="007C12A2">
      <w:pPr>
        <w:spacing w:before="100" w:beforeAutospacing="1" w:after="100" w:afterAutospacing="1"/>
        <w:rPr>
          <w:rFonts w:eastAsia="Times New Roman"/>
        </w:rPr>
      </w:pPr>
      <w:hyperlink w:anchor="m_-7077294561771739990__Toc500340629" w:history="1">
        <w:r w:rsidRPr="007C12A2">
          <w:rPr>
            <w:rFonts w:eastAsia="Times New Roman"/>
            <w:color w:val="0000FF"/>
            <w:u w:val="single"/>
          </w:rPr>
          <w:t>Water</w:t>
        </w:r>
      </w:hyperlink>
    </w:p>
    <w:p w:rsidR="00FB5556" w:rsidRPr="004311BB" w:rsidRDefault="007C12A2" w:rsidP="00FB5556">
      <w:pPr>
        <w:pStyle w:val="Heading3"/>
        <w:rPr>
          <w:rFonts w:asciiTheme="minorHAnsi" w:hAnsiTheme="minorHAnsi"/>
          <w:color w:val="C00000"/>
          <w:sz w:val="22"/>
          <w:szCs w:val="22"/>
        </w:rPr>
      </w:pPr>
      <w:hyperlink w:anchor="m_-7077294561771739990__Toc500340630" w:history="1">
        <w:r w:rsidRPr="004311BB">
          <w:rPr>
            <w:rFonts w:asciiTheme="minorHAnsi" w:hAnsiTheme="minorHAnsi"/>
            <w:color w:val="C00000"/>
            <w:sz w:val="22"/>
            <w:szCs w:val="22"/>
          </w:rPr>
          <w:t>Chapter 16 - Knowledge Transfer in International Water Resource Management—Six Challenges A2 - Hart, Barry T.</w:t>
        </w:r>
      </w:hyperlink>
      <w:bookmarkStart w:id="1" w:name="m_-7077294561771739990__Toc500340572"/>
    </w:p>
    <w:p w:rsidR="00FB5556" w:rsidRDefault="00505987" w:rsidP="00505987">
      <w:pPr>
        <w:pStyle w:val="Heading1"/>
        <w:rPr>
          <w:shd w:val="clear" w:color="auto" w:fill="D3D3D3"/>
        </w:rPr>
      </w:pPr>
      <w:r w:rsidRPr="00505987">
        <w:rPr>
          <w:shd w:val="clear" w:color="auto" w:fill="D3D3D3"/>
        </w:rPr>
        <w:t xml:space="preserve"> </w:t>
      </w:r>
    </w:p>
    <w:p w:rsidR="00505987" w:rsidRPr="00505987" w:rsidRDefault="00505987" w:rsidP="00505987">
      <w:pPr>
        <w:pStyle w:val="Heading1"/>
      </w:pPr>
      <w:r w:rsidRPr="00505987">
        <w:rPr>
          <w:shd w:val="clear" w:color="auto" w:fill="D3D3D3"/>
        </w:rPr>
        <w:t>Agriculture and Rural development</w:t>
      </w:r>
      <w:bookmarkEnd w:id="1"/>
      <w:r w:rsidRPr="00505987">
        <w:rPr>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 w:name="m_-7077294561771739990__Toc500340573"/>
      <w:r w:rsidRPr="00505987">
        <w:rPr>
          <w:rFonts w:ascii="Calibri" w:eastAsia="Times New Roman" w:hAnsi="Calibri"/>
          <w:b/>
          <w:bCs/>
          <w:color w:val="800000"/>
          <w:sz w:val="22"/>
          <w:szCs w:val="22"/>
        </w:rPr>
        <w:t>Chapter 10 - How Agricultural Research for Development Can Make a Change: Assessing Livelihood Impacts in the Northwest Highlands of Vietnam.</w:t>
      </w:r>
      <w:bookmarkEnd w:id="2"/>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N. H. </w:t>
      </w:r>
      <w:proofErr w:type="spellStart"/>
      <w:r w:rsidRPr="00505987">
        <w:rPr>
          <w:rFonts w:eastAsia="Times New Roman"/>
        </w:rPr>
        <w:t>Nhuan</w:t>
      </w:r>
      <w:proofErr w:type="spellEnd"/>
      <w:r w:rsidRPr="00505987">
        <w:rPr>
          <w:rFonts w:eastAsia="Times New Roman"/>
        </w:rPr>
        <w:t xml:space="preserve">, E. van de </w:t>
      </w:r>
      <w:proofErr w:type="spellStart"/>
      <w:r w:rsidRPr="00505987">
        <w:rPr>
          <w:rFonts w:eastAsia="Times New Roman"/>
        </w:rPr>
        <w:t>Fliert</w:t>
      </w:r>
      <w:proofErr w:type="spellEnd"/>
      <w:r w:rsidRPr="00505987">
        <w:rPr>
          <w:rFonts w:eastAsia="Times New Roman"/>
        </w:rPr>
        <w:t xml:space="preserve"> and O. </w:t>
      </w:r>
      <w:proofErr w:type="spellStart"/>
      <w:r w:rsidRPr="00505987">
        <w:rPr>
          <w:rFonts w:eastAsia="Times New Roman"/>
        </w:rPr>
        <w:t>Nicetic</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Redefining Diversity &amp; Dynamics of Natural Resources Management in Asia, Volume 2, Elsevier, 2017, pp. 155-176.</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xml:space="preserve">Abstract: This chapter explores how impact assessment of agricultural research for development (AR4D), which applies a holistic approach, can provide important insights about the contribution of research to changes in people's livelihood. It argues that an impact assessment framework that takes into consideration a broad set of livelihood indicators is better able to show how a more participatory approach to AR4D can lead to more sustainable impacts for farmers. This is particularly important in regions that experience varied stages of social change and development, such as the Northwest Highlands of Vietnam. This study developed a holistic impact assessment framework and tested the framework on three agricultural research projects (one Australian, </w:t>
      </w:r>
      <w:proofErr w:type="gramStart"/>
      <w:r w:rsidRPr="00505987">
        <w:rPr>
          <w:rFonts w:eastAsia="Times New Roman"/>
        </w:rPr>
        <w:t>one French</w:t>
      </w:r>
      <w:proofErr w:type="gramEnd"/>
      <w:r w:rsidRPr="00505987">
        <w:rPr>
          <w:rFonts w:eastAsia="Times New Roman"/>
        </w:rPr>
        <w:t xml:space="preserve">, and one Vietnamese-funded project) in Son La Province. The study used participatory techniques involving focus group discussions and </w:t>
      </w:r>
      <w:proofErr w:type="spellStart"/>
      <w:r w:rsidRPr="00505987">
        <w:rPr>
          <w:rFonts w:eastAsia="Times New Roman"/>
        </w:rPr>
        <w:t>semistructured</w:t>
      </w:r>
      <w:proofErr w:type="spellEnd"/>
      <w:r w:rsidRPr="00505987">
        <w:rPr>
          <w:rFonts w:eastAsia="Times New Roman"/>
        </w:rPr>
        <w:t xml:space="preserve"> interviews with farmers, in-depth interviews with key informants, documentary review for data collection, and subjected the results to a thematic analysis. The study found that, among the three case projects, one project adopted participatory processes and communication strategies to facilitate the engagement of stakeholders in a research process and targeted the immediate use of research outputs for development. This project achieved better livelihood impacts for local communities. The results of the study indicate that a holistic impact assessment framework utilizing the sustainable livelihoods framework and participatory methods could help to assess the contribution of AR4D projects to development outcomes given the careful attention paid to understanding the complexity of local areas.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 w:name="m_-7077294561771739990__Toc500340574"/>
      <w:r w:rsidRPr="00505987">
        <w:rPr>
          <w:rFonts w:ascii="Calibri" w:eastAsia="Times New Roman" w:hAnsi="Calibri"/>
          <w:b/>
          <w:bCs/>
          <w:color w:val="800000"/>
          <w:sz w:val="22"/>
          <w:szCs w:val="22"/>
        </w:rPr>
        <w:t xml:space="preserve">Cassava and </w:t>
      </w:r>
      <w:proofErr w:type="spellStart"/>
      <w:r w:rsidRPr="00505987">
        <w:rPr>
          <w:rFonts w:ascii="Calibri" w:eastAsia="Times New Roman" w:hAnsi="Calibri"/>
          <w:b/>
          <w:bCs/>
          <w:color w:val="800000"/>
          <w:sz w:val="22"/>
          <w:szCs w:val="22"/>
        </w:rPr>
        <w:t>Sweetpotato</w:t>
      </w:r>
      <w:proofErr w:type="spellEnd"/>
      <w:r w:rsidRPr="00505987">
        <w:rPr>
          <w:rFonts w:ascii="Calibri" w:eastAsia="Times New Roman" w:hAnsi="Calibri"/>
          <w:b/>
          <w:bCs/>
          <w:color w:val="800000"/>
          <w:sz w:val="22"/>
          <w:szCs w:val="22"/>
        </w:rPr>
        <w:t xml:space="preserve"> Cropping Practices and Farmer Communication Networks in </w:t>
      </w:r>
      <w:proofErr w:type="spellStart"/>
      <w:r w:rsidRPr="00505987">
        <w:rPr>
          <w:rFonts w:ascii="Calibri" w:eastAsia="Times New Roman" w:hAnsi="Calibri"/>
          <w:b/>
          <w:bCs/>
          <w:color w:val="800000"/>
          <w:sz w:val="22"/>
          <w:szCs w:val="22"/>
        </w:rPr>
        <w:t>Qu</w:t>
      </w:r>
      <w:r w:rsidRPr="00505987">
        <w:rPr>
          <w:rFonts w:ascii="Arial" w:eastAsia="Times New Roman" w:hAnsi="Arial" w:cs="Arial"/>
          <w:b/>
          <w:bCs/>
          <w:color w:val="800000"/>
          <w:sz w:val="22"/>
          <w:szCs w:val="22"/>
        </w:rPr>
        <w:t>ả</w:t>
      </w:r>
      <w:r w:rsidRPr="00505987">
        <w:rPr>
          <w:rFonts w:ascii="Calibri" w:eastAsia="Times New Roman" w:hAnsi="Calibri"/>
          <w:b/>
          <w:bCs/>
          <w:color w:val="800000"/>
          <w:sz w:val="22"/>
          <w:szCs w:val="22"/>
        </w:rPr>
        <w:t>ng</w:t>
      </w:r>
      <w:proofErr w:type="spellEnd"/>
      <w:r w:rsidRPr="00505987">
        <w:rPr>
          <w:rFonts w:ascii="Calibri" w:eastAsia="Times New Roman" w:hAnsi="Calibri"/>
          <w:b/>
          <w:bCs/>
          <w:color w:val="800000"/>
          <w:sz w:val="22"/>
          <w:szCs w:val="22"/>
        </w:rPr>
        <w:t xml:space="preserve"> </w:t>
      </w:r>
      <w:proofErr w:type="spellStart"/>
      <w:r w:rsidRPr="00505987">
        <w:rPr>
          <w:rFonts w:ascii="Calibri" w:eastAsia="Times New Roman" w:hAnsi="Calibri"/>
          <w:b/>
          <w:bCs/>
          <w:color w:val="800000"/>
          <w:sz w:val="22"/>
          <w:szCs w:val="22"/>
        </w:rPr>
        <w:t>B</w:t>
      </w:r>
      <w:r w:rsidRPr="00505987">
        <w:rPr>
          <w:rFonts w:ascii="Calibri" w:eastAsia="Times New Roman" w:hAnsi="Calibri" w:cs="Calibri"/>
          <w:b/>
          <w:bCs/>
          <w:color w:val="800000"/>
          <w:sz w:val="22"/>
          <w:szCs w:val="22"/>
        </w:rPr>
        <w:t>ì</w:t>
      </w:r>
      <w:r w:rsidRPr="00505987">
        <w:rPr>
          <w:rFonts w:ascii="Calibri" w:eastAsia="Times New Roman" w:hAnsi="Calibri"/>
          <w:b/>
          <w:bCs/>
          <w:color w:val="800000"/>
          <w:sz w:val="22"/>
          <w:szCs w:val="22"/>
        </w:rPr>
        <w:t>nh</w:t>
      </w:r>
      <w:proofErr w:type="spellEnd"/>
      <w:r w:rsidRPr="00505987">
        <w:rPr>
          <w:rFonts w:ascii="Calibri" w:eastAsia="Times New Roman" w:hAnsi="Calibri"/>
          <w:b/>
          <w:bCs/>
          <w:color w:val="800000"/>
          <w:sz w:val="22"/>
          <w:szCs w:val="22"/>
        </w:rPr>
        <w:t xml:space="preserve"> Province, Vietnam: Identifying Gaps between Existing Root and Tuber Crops Farming Practices and Climate Smart Agriculture Practices and Characterizing Communication Systems to Support Livelihoods.</w:t>
      </w:r>
      <w:bookmarkEnd w:id="3"/>
    </w:p>
    <w:p w:rsidR="00505987" w:rsidRPr="00505987" w:rsidRDefault="00505987" w:rsidP="00505987">
      <w:pPr>
        <w:spacing w:before="100" w:beforeAutospacing="1" w:after="100" w:afterAutospacing="1"/>
        <w:rPr>
          <w:rFonts w:eastAsia="Times New Roman"/>
        </w:rPr>
      </w:pPr>
      <w:r w:rsidRPr="00505987">
        <w:rPr>
          <w:rFonts w:eastAsia="Times New Roman"/>
        </w:rPr>
        <w:t>Kate Wilkins. Food Resilience through Root and Tuber Crops in Upland and Coastal Communities of the Asia-Pacific (</w:t>
      </w:r>
      <w:proofErr w:type="spellStart"/>
      <w:r w:rsidRPr="00505987">
        <w:rPr>
          <w:rFonts w:eastAsia="Times New Roman"/>
        </w:rPr>
        <w:t>FoodSTART</w:t>
      </w:r>
      <w:proofErr w:type="spellEnd"/>
      <w:r w:rsidRPr="00505987">
        <w:rPr>
          <w:rFonts w:eastAsia="Times New Roman"/>
        </w:rPr>
        <w:t>+)-International Potato Center,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8" w:tgtFrame="_blank" w:history="1">
        <w:r w:rsidRPr="00505987">
          <w:rPr>
            <w:rFonts w:eastAsia="Times New Roman"/>
            <w:color w:val="0000FF"/>
            <w:u w:val="single"/>
          </w:rPr>
          <w:t>https://cgspace.cgiar.org/bitstream/handle/10568/89464/RTB-FoodSTART-Cassava-and-Sweetpotato-Cropping-Practices-FULL-REPORT.pdf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Root and tuber crops (RTCs), especially cassava and </w:t>
      </w:r>
      <w:proofErr w:type="spellStart"/>
      <w:r w:rsidRPr="00505987">
        <w:rPr>
          <w:rFonts w:eastAsia="Times New Roman"/>
        </w:rPr>
        <w:t>sweetpotato</w:t>
      </w:r>
      <w:proofErr w:type="spellEnd"/>
      <w:r w:rsidRPr="00505987">
        <w:rPr>
          <w:rFonts w:eastAsia="Times New Roman"/>
        </w:rPr>
        <w:t xml:space="preserve">, have historically played important roles in the livelihood of smallholder farmers in </w:t>
      </w:r>
      <w:proofErr w:type="spellStart"/>
      <w:r w:rsidRPr="00505987">
        <w:rPr>
          <w:rFonts w:eastAsia="Times New Roman"/>
        </w:rPr>
        <w:t>Quảng</w:t>
      </w:r>
      <w:proofErr w:type="spellEnd"/>
      <w:r w:rsidRPr="00505987">
        <w:rPr>
          <w:rFonts w:eastAsia="Times New Roman"/>
        </w:rPr>
        <w:t xml:space="preserve"> </w:t>
      </w:r>
      <w:proofErr w:type="spellStart"/>
      <w:r w:rsidRPr="00505987">
        <w:rPr>
          <w:rFonts w:eastAsia="Times New Roman"/>
        </w:rPr>
        <w:t>Bình</w:t>
      </w:r>
      <w:proofErr w:type="spellEnd"/>
      <w:r w:rsidRPr="00505987">
        <w:rPr>
          <w:rFonts w:eastAsia="Times New Roman"/>
        </w:rPr>
        <w:t xml:space="preserve"> province, Vietnam, even during disasters and extreme events. Recognizing the potential of RTCs in increasing the resilience of smallholder farmers against climate change impacts in Vietnam, this research was done with the goal of determining potential gaps in farmer knowledge about climate smart practices for cassava and </w:t>
      </w:r>
      <w:proofErr w:type="spellStart"/>
      <w:r w:rsidRPr="00505987">
        <w:rPr>
          <w:rFonts w:eastAsia="Times New Roman"/>
        </w:rPr>
        <w:t>sweetpotato</w:t>
      </w:r>
      <w:proofErr w:type="spellEnd"/>
      <w:r w:rsidRPr="00505987">
        <w:rPr>
          <w:rFonts w:eastAsia="Times New Roman"/>
        </w:rPr>
        <w:t xml:space="preserve"> production. It also aimed to characterize farmer communication networks and knowledge-sharing within the village as well as at the commune-level. --- Using qualitative methods, data was gathered from 30 RTC farmers in three villages per commune and other stakeholders such cassava traders, cassava starch factory representatives, and agricultural extension officers. Research results showed that farmers growing RTCs in </w:t>
      </w:r>
      <w:proofErr w:type="spellStart"/>
      <w:r w:rsidRPr="00505987">
        <w:rPr>
          <w:rFonts w:eastAsia="Times New Roman"/>
        </w:rPr>
        <w:t>Quảng</w:t>
      </w:r>
      <w:proofErr w:type="spellEnd"/>
      <w:r w:rsidRPr="00505987">
        <w:rPr>
          <w:rFonts w:eastAsia="Times New Roman"/>
        </w:rPr>
        <w:t xml:space="preserve"> </w:t>
      </w:r>
      <w:proofErr w:type="spellStart"/>
      <w:r w:rsidRPr="00505987">
        <w:rPr>
          <w:rFonts w:eastAsia="Times New Roman"/>
        </w:rPr>
        <w:t>Thạch</w:t>
      </w:r>
      <w:proofErr w:type="spellEnd"/>
      <w:r w:rsidRPr="00505987">
        <w:rPr>
          <w:rFonts w:eastAsia="Times New Roman"/>
        </w:rPr>
        <w:t xml:space="preserve"> are well integrated into the local and regional processing markets </w:t>
      </w:r>
      <w:r w:rsidRPr="00505987">
        <w:rPr>
          <w:rFonts w:eastAsia="Times New Roman"/>
        </w:rPr>
        <w:lastRenderedPageBreak/>
        <w:t xml:space="preserve">while farmers in Cao </w:t>
      </w:r>
      <w:proofErr w:type="spellStart"/>
      <w:r w:rsidRPr="00505987">
        <w:rPr>
          <w:rFonts w:eastAsia="Times New Roman"/>
        </w:rPr>
        <w:t>Quảng</w:t>
      </w:r>
      <w:proofErr w:type="spellEnd"/>
      <w:r w:rsidRPr="00505987">
        <w:rPr>
          <w:rFonts w:eastAsia="Times New Roman"/>
        </w:rPr>
        <w:t xml:space="preserve"> have little access to such profitable markets, particularly for cassava. They also experience quality issues that preclude their entrance into local </w:t>
      </w:r>
      <w:proofErr w:type="spellStart"/>
      <w:r w:rsidRPr="00505987">
        <w:rPr>
          <w:rFonts w:eastAsia="Times New Roman"/>
        </w:rPr>
        <w:t>sweetpotato</w:t>
      </w:r>
      <w:proofErr w:type="spellEnd"/>
      <w:r w:rsidRPr="00505987">
        <w:rPr>
          <w:rFonts w:eastAsia="Times New Roman"/>
        </w:rPr>
        <w:t xml:space="preserve"> markets. In both communes, there were gaps in actual practice and climate smart cassava farming including inefficient fertilizer use and plant spacing, limited erosion control, and inadequate pest management. Pests are a major problem for </w:t>
      </w:r>
      <w:proofErr w:type="spellStart"/>
      <w:r w:rsidRPr="00505987">
        <w:rPr>
          <w:rFonts w:eastAsia="Times New Roman"/>
        </w:rPr>
        <w:t>sweetpotato</w:t>
      </w:r>
      <w:proofErr w:type="spellEnd"/>
      <w:r w:rsidRPr="00505987">
        <w:rPr>
          <w:rFonts w:eastAsia="Times New Roman"/>
        </w:rPr>
        <w:t xml:space="preserve"> farmers in Cao </w:t>
      </w:r>
      <w:proofErr w:type="spellStart"/>
      <w:r w:rsidRPr="00505987">
        <w:rPr>
          <w:rFonts w:eastAsia="Times New Roman"/>
        </w:rPr>
        <w:t>Quảng</w:t>
      </w:r>
      <w:proofErr w:type="spellEnd"/>
      <w:r w:rsidRPr="00505987">
        <w:rPr>
          <w:rFonts w:eastAsia="Times New Roman"/>
        </w:rPr>
        <w:t>, who are in urgent need for significant pest and disease management strategies. --- Most farmers’ knowledge about RTC cropping is learned through interpersonal communication with family and neighbors. Knowledge about market-related information such as new products, varieties, and prices are often communicated through networks outside the village including fertilizer sales agents, cassava traders and commune agricultural officers. This research also found out that although there is some variety in farmer cropping activities, most farmers act similarly to their neighbors. Therefore, interventions on RTC planting technologies or markets are likely to be taken up by all farmers, by none or very few.</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               </w:t>
      </w:r>
      <w:hyperlink w:anchor="_top" w:history="1">
        <w:r w:rsidRPr="00505987">
          <w:rPr>
            <w:rFonts w:eastAsia="Times New Roman"/>
            <w:color w:val="0000FF"/>
            <w:u w:val="single"/>
          </w:rPr>
          <w:t>Back t</w:t>
        </w:r>
        <w:r w:rsidRPr="00505987">
          <w:rPr>
            <w:rFonts w:eastAsia="Times New Roman"/>
            <w:color w:val="0000FF"/>
            <w:u w:val="single"/>
          </w:rPr>
          <w:t>o</w:t>
        </w:r>
        <w:r w:rsidRPr="00505987">
          <w:rPr>
            <w:rFonts w:eastAsia="Times New Roman"/>
            <w:color w:val="0000FF"/>
            <w:u w:val="single"/>
          </w:rPr>
          <w:t xml:space="preserve">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 w:name="m_-7077294561771739990__Toc500340575"/>
      <w:proofErr w:type="gramStart"/>
      <w:r w:rsidRPr="00505987">
        <w:rPr>
          <w:rFonts w:ascii="Calibri" w:eastAsia="Times New Roman" w:hAnsi="Calibri"/>
          <w:b/>
          <w:bCs/>
          <w:color w:val="800000"/>
          <w:sz w:val="22"/>
          <w:szCs w:val="22"/>
        </w:rPr>
        <w:t>Decreased use of pesticides for increased yields of rice and fish-options for sustainable food production in the Mekong Delta.</w:t>
      </w:r>
      <w:bookmarkEnd w:id="4"/>
      <w:proofErr w:type="gramEnd"/>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Håkan</w:t>
      </w:r>
      <w:proofErr w:type="spellEnd"/>
      <w:r w:rsidRPr="00505987">
        <w:rPr>
          <w:rFonts w:eastAsia="Times New Roman"/>
        </w:rPr>
        <w:t xml:space="preserve"> Berg and Nguyen Thanh Tam.</w:t>
      </w:r>
      <w:proofErr w:type="gramEnd"/>
      <w:r w:rsidRPr="00505987">
        <w:rPr>
          <w:rFonts w:eastAsia="Times New Roman"/>
        </w:rPr>
        <w:t xml:space="preserve"> </w:t>
      </w:r>
      <w:proofErr w:type="gramStart"/>
      <w:r w:rsidRPr="00505987">
        <w:rPr>
          <w:rFonts w:eastAsia="Times New Roman"/>
        </w:rPr>
        <w:t>Science of The Total Environment, 2018, volume 619–620, pp. 319-327.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study assesses the use of pesticides and the attitude to pest management strategies among rice and rice-fish farmers in the Can </w:t>
      </w:r>
      <w:proofErr w:type="spellStart"/>
      <w:r w:rsidRPr="00505987">
        <w:rPr>
          <w:rFonts w:eastAsia="Times New Roman"/>
        </w:rPr>
        <w:t>Tho</w:t>
      </w:r>
      <w:proofErr w:type="spellEnd"/>
      <w:r w:rsidRPr="00505987">
        <w:rPr>
          <w:rFonts w:eastAsia="Times New Roman"/>
        </w:rPr>
        <w:t xml:space="preserve"> and Tien </w:t>
      </w:r>
      <w:proofErr w:type="spellStart"/>
      <w:r w:rsidRPr="00505987">
        <w:rPr>
          <w:rFonts w:eastAsia="Times New Roman"/>
        </w:rPr>
        <w:t>Giang</w:t>
      </w:r>
      <w:proofErr w:type="spellEnd"/>
      <w:r w:rsidRPr="00505987">
        <w:rPr>
          <w:rFonts w:eastAsia="Times New Roman"/>
        </w:rPr>
        <w:t xml:space="preserve"> provinces in Vietnam. Interviews were made with 80 farmers. The farmers were divided in to farmers cultivating only rice with a high use (RHP) and low use (RLP) of pesticides, and farmers cultivating rice and fish with a high use (RFHP) and low use (RFLP) of pesticides. 80% of the HP farmers relied mainly on pesticides to control pests, while &amp;</w:t>
      </w:r>
      <w:proofErr w:type="spellStart"/>
      <w:r w:rsidRPr="00505987">
        <w:rPr>
          <w:rFonts w:eastAsia="Times New Roman"/>
        </w:rPr>
        <w:t>gt</w:t>
      </w:r>
      <w:proofErr w:type="spellEnd"/>
      <w:r w:rsidRPr="00505987">
        <w:rPr>
          <w:rFonts w:eastAsia="Times New Roman"/>
        </w:rPr>
        <w:t xml:space="preserve">; 80% of the LP farmers also applied IPM strategies. Insecticides were the most commonly used pesticides. 85% of all farmers experienced health effects from using pesticides. 80% of the farmers felt that the yield of fish had decreased over the last three years, and that this mainly was caused by pesticides. The RFHP farmers had lower fish survival and fish yields as compared to the RFLP farmers. The RFHP farmers also had significant lower rice yields than the RFLP farmers, and there were significant correlations between both decreased fish yields and rice yields with increased use of pesticides among rice-fish farmers. Increased rice yields were positively correlated with increased fish survival, indicating the synergistic effects between rice and fish production. Overall, the RFLP farmers had the highest income of the four farmers´ groups, while RFHP farmers had the lowest income. This shows that rice-fish farming provides a competitive and sustainable alternative to intensive rice-farming, but only if the farmer restricts the use of pesticides. This would not only help to reduce the production costs, but also to decrease environmental and health effects, and it is </w:t>
      </w:r>
      <w:r w:rsidRPr="00505987">
        <w:rPr>
          <w:rFonts w:eastAsia="Times New Roman"/>
        </w:rPr>
        <w:lastRenderedPageBreak/>
        <w:t>proposed that rice-fish farming with a low use of pesticides provides an attractive alternative to rice-</w:t>
      </w:r>
      <w:proofErr w:type="spellStart"/>
      <w:r w:rsidRPr="00505987">
        <w:rPr>
          <w:rFonts w:eastAsia="Times New Roman"/>
        </w:rPr>
        <w:t>monocropping</w:t>
      </w:r>
      <w:proofErr w:type="spellEnd"/>
      <w:r w:rsidRPr="00505987">
        <w:rPr>
          <w:rFonts w:eastAsia="Times New Roman"/>
        </w:rPr>
        <w:t xml:space="preserve"> for a sustainable and diversified food production in the Mekong Delta.</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 w:name="m_-7077294561771739990__Toc500340576"/>
      <w:r w:rsidRPr="00505987">
        <w:rPr>
          <w:rFonts w:ascii="Calibri" w:eastAsia="Times New Roman" w:hAnsi="Calibri"/>
          <w:b/>
          <w:bCs/>
          <w:color w:val="800000"/>
          <w:sz w:val="22"/>
          <w:szCs w:val="22"/>
        </w:rPr>
        <w:t>Green supply chain: Solutions to improve the competitiveness of Thai Nguyen tea.</w:t>
      </w:r>
      <w:bookmarkEnd w:id="5"/>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Pham </w:t>
      </w:r>
      <w:proofErr w:type="spellStart"/>
      <w:r w:rsidRPr="00505987">
        <w:rPr>
          <w:rFonts w:eastAsia="Times New Roman"/>
        </w:rPr>
        <w:t>Thi</w:t>
      </w:r>
      <w:proofErr w:type="spellEnd"/>
      <w:r w:rsidRPr="00505987">
        <w:rPr>
          <w:rFonts w:eastAsia="Times New Roman"/>
        </w:rPr>
        <w:t xml:space="preserve"> Minh </w:t>
      </w:r>
      <w:proofErr w:type="spellStart"/>
      <w:r w:rsidRPr="00505987">
        <w:rPr>
          <w:rFonts w:eastAsia="Times New Roman"/>
        </w:rPr>
        <w:t>Khuyen</w:t>
      </w:r>
      <w:proofErr w:type="spellEnd"/>
      <w:r w:rsidRPr="00505987">
        <w:rPr>
          <w:rFonts w:eastAsia="Times New Roman"/>
        </w:rPr>
        <w:t xml:space="preserve"> and Pham </w:t>
      </w:r>
      <w:proofErr w:type="spellStart"/>
      <w:r w:rsidRPr="00505987">
        <w:rPr>
          <w:rFonts w:eastAsia="Times New Roman"/>
        </w:rPr>
        <w:t>Thi</w:t>
      </w:r>
      <w:proofErr w:type="spellEnd"/>
      <w:r w:rsidRPr="00505987">
        <w:rPr>
          <w:rFonts w:eastAsia="Times New Roman"/>
        </w:rPr>
        <w:t xml:space="preserve"> Mai Yen.</w:t>
      </w:r>
      <w:proofErr w:type="gramEnd"/>
      <w:r w:rsidRPr="00505987">
        <w:rPr>
          <w:rFonts w:eastAsia="Times New Roman"/>
        </w:rPr>
        <w:t xml:space="preserve"> Vietnam – November 16-17 </w:t>
      </w:r>
      <w:proofErr w:type="gramStart"/>
      <w:r w:rsidRPr="00505987">
        <w:rPr>
          <w:rFonts w:eastAsia="Times New Roman"/>
        </w:rPr>
        <w:t>The</w:t>
      </w:r>
      <w:proofErr w:type="gramEnd"/>
      <w:r w:rsidRPr="00505987">
        <w:rPr>
          <w:rFonts w:eastAsia="Times New Roman"/>
        </w:rPr>
        <w:t xml:space="preserve"> Sixth International Conference on Entrepreneurship and Business Management (ICEBM 2017) Hanoi, 2017,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9" w:tgtFrame="_blank" w:history="1">
        <w:r w:rsidRPr="00505987">
          <w:rPr>
            <w:rFonts w:eastAsia="Times New Roman"/>
            <w:color w:val="0000FF"/>
            <w:u w:val="single"/>
          </w:rPr>
          <w:t>https://www.researchgate.net/profile/Khuyen_Pham/publication/321148501_GREEN_SUPPLY_CHAIN-SOLUTIONS_TO_IMPROVE_THE_COMPETITIVENESS_OF_THAINGUYEN_TEA/links/5a102f6da6fdccc2d79847ad/GREEN-SUPPLY-CHAIN-SOLUTIONS-TO-IMPROVE-THE-COMPETITIVENESS-OF-THAINGUYEN-TEA.pdf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w:t>
      </w:r>
      <w:proofErr w:type="spellStart"/>
      <w:r w:rsidRPr="00505987">
        <w:rPr>
          <w:rFonts w:eastAsia="Times New Roman"/>
        </w:rPr>
        <w:t>Thainguyen</w:t>
      </w:r>
      <w:proofErr w:type="spellEnd"/>
      <w:r w:rsidRPr="00505987">
        <w:rPr>
          <w:rFonts w:eastAsia="Times New Roman"/>
        </w:rPr>
        <w:t xml:space="preserve"> is one of the three biggest tea producing areas in Vietnam. </w:t>
      </w:r>
      <w:proofErr w:type="spellStart"/>
      <w:r w:rsidRPr="00505987">
        <w:rPr>
          <w:rFonts w:eastAsia="Times New Roman"/>
        </w:rPr>
        <w:t>Thainguyen</w:t>
      </w:r>
      <w:proofErr w:type="spellEnd"/>
      <w:r w:rsidRPr="00505987">
        <w:rPr>
          <w:rFonts w:eastAsia="Times New Roman"/>
        </w:rPr>
        <w:t xml:space="preserve"> tea has been famous for hundreds years, not only all over the country but also in many countries, for its delicious bitter-sweet green tea. The price of </w:t>
      </w:r>
      <w:proofErr w:type="spellStart"/>
      <w:r w:rsidRPr="00505987">
        <w:rPr>
          <w:rFonts w:eastAsia="Times New Roman"/>
        </w:rPr>
        <w:t>Thainguyen</w:t>
      </w:r>
      <w:proofErr w:type="spellEnd"/>
      <w:r w:rsidRPr="00505987">
        <w:rPr>
          <w:rFonts w:eastAsia="Times New Roman"/>
        </w:rPr>
        <w:t xml:space="preserve"> tea is also higher than many other provinces tea, but is still much lower than the average price of many other big tea exporting countries. Small and handicraft production, small trading and lack of relationship between all components of tea supply chain are the main reasons. Develop green supply chain is a good solution to improve the competitiveness of </w:t>
      </w:r>
      <w:proofErr w:type="spellStart"/>
      <w:r w:rsidRPr="00505987">
        <w:rPr>
          <w:rFonts w:eastAsia="Times New Roman"/>
        </w:rPr>
        <w:t>Thainguyen</w:t>
      </w:r>
      <w:proofErr w:type="spellEnd"/>
      <w:r w:rsidRPr="00505987">
        <w:rPr>
          <w:rFonts w:eastAsia="Times New Roman"/>
        </w:rPr>
        <w:t xml:space="preserve"> tea in long-term. After over viewing green supply chains theory, this article assesses the current situation of tea supply chain in Thai Nguyen and propose solutions for developing green supply chains for Thai Nguyen tea products.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6" w:name="m_-7077294561771739990__Toc500340577"/>
      <w:proofErr w:type="gramStart"/>
      <w:r w:rsidRPr="00505987">
        <w:rPr>
          <w:rFonts w:ascii="Calibri" w:eastAsia="Times New Roman" w:hAnsi="Calibri"/>
          <w:b/>
          <w:bCs/>
          <w:color w:val="800000"/>
          <w:sz w:val="22"/>
          <w:szCs w:val="22"/>
        </w:rPr>
        <w:t xml:space="preserve">An international comparison of rice consumption </w:t>
      </w:r>
      <w:proofErr w:type="spellStart"/>
      <w:r w:rsidRPr="00505987">
        <w:rPr>
          <w:rFonts w:ascii="Calibri" w:eastAsia="Times New Roman" w:hAnsi="Calibri"/>
          <w:b/>
          <w:bCs/>
          <w:color w:val="800000"/>
          <w:sz w:val="22"/>
          <w:szCs w:val="22"/>
        </w:rPr>
        <w:t>behaviours</w:t>
      </w:r>
      <w:proofErr w:type="spellEnd"/>
      <w:r w:rsidRPr="00505987">
        <w:rPr>
          <w:rFonts w:ascii="Calibri" w:eastAsia="Times New Roman" w:hAnsi="Calibri"/>
          <w:b/>
          <w:bCs/>
          <w:color w:val="800000"/>
          <w:sz w:val="22"/>
          <w:szCs w:val="22"/>
        </w:rPr>
        <w:t xml:space="preserve"> and greenhouse gas emissions from rice production.</w:t>
      </w:r>
      <w:bookmarkEnd w:id="6"/>
      <w:proofErr w:type="gramEnd"/>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Tek</w:t>
      </w:r>
      <w:proofErr w:type="spellEnd"/>
      <w:r w:rsidRPr="00505987">
        <w:rPr>
          <w:rFonts w:eastAsia="Times New Roman"/>
        </w:rPr>
        <w:t xml:space="preserve"> Narayan </w:t>
      </w:r>
      <w:proofErr w:type="spellStart"/>
      <w:r w:rsidRPr="00505987">
        <w:rPr>
          <w:rFonts w:eastAsia="Times New Roman"/>
        </w:rPr>
        <w:t>Maraseni</w:t>
      </w:r>
      <w:proofErr w:type="spellEnd"/>
      <w:r w:rsidRPr="00505987">
        <w:rPr>
          <w:rFonts w:eastAsia="Times New Roman"/>
        </w:rPr>
        <w:t xml:space="preserve">, </w:t>
      </w:r>
      <w:proofErr w:type="spellStart"/>
      <w:r w:rsidRPr="00505987">
        <w:rPr>
          <w:rFonts w:eastAsia="Times New Roman"/>
        </w:rPr>
        <w:t>Ravinesh</w:t>
      </w:r>
      <w:proofErr w:type="spellEnd"/>
      <w:r w:rsidRPr="00505987">
        <w:rPr>
          <w:rFonts w:eastAsia="Times New Roman"/>
        </w:rPr>
        <w:t xml:space="preserve"> C. </w:t>
      </w:r>
      <w:proofErr w:type="spellStart"/>
      <w:r w:rsidRPr="00505987">
        <w:rPr>
          <w:rFonts w:eastAsia="Times New Roman"/>
        </w:rPr>
        <w:t>Deo</w:t>
      </w:r>
      <w:proofErr w:type="spellEnd"/>
      <w:r w:rsidRPr="00505987">
        <w:rPr>
          <w:rFonts w:eastAsia="Times New Roman"/>
        </w:rPr>
        <w:t xml:space="preserve">, </w:t>
      </w:r>
      <w:proofErr w:type="spellStart"/>
      <w:r w:rsidRPr="00505987">
        <w:rPr>
          <w:rFonts w:eastAsia="Times New Roman"/>
        </w:rPr>
        <w:t>Jiansheng</w:t>
      </w:r>
      <w:proofErr w:type="spellEnd"/>
      <w:r w:rsidRPr="00505987">
        <w:rPr>
          <w:rFonts w:eastAsia="Times New Roman"/>
        </w:rPr>
        <w:t xml:space="preserve"> Qu, Popular Gentle and </w:t>
      </w:r>
      <w:proofErr w:type="spellStart"/>
      <w:r w:rsidRPr="00505987">
        <w:rPr>
          <w:rFonts w:eastAsia="Times New Roman"/>
        </w:rPr>
        <w:t>Prem</w:t>
      </w:r>
      <w:proofErr w:type="spellEnd"/>
      <w:r w:rsidRPr="00505987">
        <w:rPr>
          <w:rFonts w:eastAsia="Times New Roman"/>
        </w:rPr>
        <w:t xml:space="preserve"> Raj </w:t>
      </w:r>
      <w:proofErr w:type="spellStart"/>
      <w:r w:rsidRPr="00505987">
        <w:rPr>
          <w:rFonts w:eastAsia="Times New Roman"/>
        </w:rPr>
        <w:t>Neupane</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Journal of Cleaner Production,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Rice is a staple food for over half the global population and is mostly produced by smallholders. Rice cultivation at global level is responsible for over 10% of global agricultural </w:t>
      </w:r>
      <w:r w:rsidRPr="00505987">
        <w:rPr>
          <w:rFonts w:eastAsia="Times New Roman"/>
        </w:rPr>
        <w:lastRenderedPageBreak/>
        <w:t xml:space="preserve">greenhouse gas (GHG) emissions and about 1.3% to 1.8% of the anthropogenic GHG emissions. Taking time series data from the World Bank, Food and Agriculture </w:t>
      </w:r>
      <w:proofErr w:type="spellStart"/>
      <w:r w:rsidRPr="00505987">
        <w:rPr>
          <w:rFonts w:eastAsia="Times New Roman"/>
        </w:rPr>
        <w:t>Organisation</w:t>
      </w:r>
      <w:proofErr w:type="spellEnd"/>
      <w:r w:rsidRPr="00505987">
        <w:rPr>
          <w:rFonts w:eastAsia="Times New Roman"/>
        </w:rPr>
        <w:t xml:space="preserve">, International Rice Research Institute and United States Department of Agriculture, this study aims to compare the trends and magnitudes of rice yield, per capita rice consumption and its relationships with per capita income and life expectancy, as well as CH4 and N2O emissions from rice farming among the eight different countries (China, India, Vietnam, Thailand, the Philippines, Myanmar, Bangladesh and Indonesia) which, collectively, account for about 82.05% of the global rice production and 78.23% of the global rice consumption. Moreover, </w:t>
      </w:r>
      <w:proofErr w:type="gramStart"/>
      <w:r w:rsidRPr="00505987">
        <w:rPr>
          <w:rFonts w:eastAsia="Times New Roman"/>
        </w:rPr>
        <w:t>agricultural practices as a whole in these eight countries is</w:t>
      </w:r>
      <w:proofErr w:type="gramEnd"/>
      <w:r w:rsidRPr="00505987">
        <w:rPr>
          <w:rFonts w:eastAsia="Times New Roman"/>
        </w:rPr>
        <w:t xml:space="preserve"> responsible for 35% of global agricultural emissions. Over the 54 year period of study from 1961–2014, rice yield increased significantly in all countries; however, the current pace is not sufficient to meet the increasing demands. Similarly, results suggest that the </w:t>
      </w:r>
      <w:proofErr w:type="spellStart"/>
      <w:r w:rsidRPr="00505987">
        <w:rPr>
          <w:rFonts w:eastAsia="Times New Roman"/>
        </w:rPr>
        <w:t>generalisation</w:t>
      </w:r>
      <w:proofErr w:type="spellEnd"/>
      <w:r w:rsidRPr="00505987">
        <w:rPr>
          <w:rFonts w:eastAsia="Times New Roman"/>
        </w:rPr>
        <w:t xml:space="preserve"> of rice consumption </w:t>
      </w:r>
      <w:proofErr w:type="spellStart"/>
      <w:r w:rsidRPr="00505987">
        <w:rPr>
          <w:rFonts w:eastAsia="Times New Roman"/>
        </w:rPr>
        <w:t>behaviour</w:t>
      </w:r>
      <w:proofErr w:type="spellEnd"/>
      <w:r w:rsidRPr="00505987">
        <w:rPr>
          <w:rFonts w:eastAsia="Times New Roman"/>
        </w:rPr>
        <w:t>—as normal or inferior goods—is misleading and is largely influenced by the culture, norms, values and beliefs of a given country. Although the absolute amounts of GHG emissions from rice cultivation has increased in all countries during the study period, the corresponding emission intensities have declined sharply, mainly due to the rapid increase in yield. Among the eight countries, China and Vietnam’s performance was better in terms of their increased yield, decreasing rates of emissions intensity and a lower water footprint whilst Thailand’s performance was poorest. The differences between the different countries and practices which enable more rice to be produced with less water, energy and land are also discussed.</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7" w:name="m_-7077294561771739990__Toc500340578"/>
      <w:r w:rsidRPr="00505987">
        <w:rPr>
          <w:rFonts w:ascii="Calibri" w:eastAsia="Times New Roman" w:hAnsi="Calibri"/>
          <w:b/>
          <w:bCs/>
          <w:color w:val="800000"/>
          <w:sz w:val="22"/>
          <w:szCs w:val="22"/>
        </w:rPr>
        <w:t xml:space="preserve">Social Forestry - why and for whom? </w:t>
      </w:r>
      <w:proofErr w:type="gramStart"/>
      <w:r w:rsidRPr="00505987">
        <w:rPr>
          <w:rFonts w:ascii="Calibri" w:eastAsia="Times New Roman" w:hAnsi="Calibri"/>
          <w:b/>
          <w:bCs/>
          <w:color w:val="800000"/>
          <w:sz w:val="22"/>
          <w:szCs w:val="22"/>
        </w:rPr>
        <w:t>A comparison of policies in Vietnam and Indonesia.</w:t>
      </w:r>
      <w:bookmarkEnd w:id="7"/>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Moira </w:t>
      </w:r>
      <w:proofErr w:type="spellStart"/>
      <w:r w:rsidRPr="00505987">
        <w:rPr>
          <w:rFonts w:eastAsia="Times New Roman"/>
        </w:rPr>
        <w:t>Moeliono</w:t>
      </w:r>
      <w:proofErr w:type="spellEnd"/>
      <w:r w:rsidRPr="00505987">
        <w:rPr>
          <w:rFonts w:eastAsia="Times New Roman"/>
        </w:rPr>
        <w:t xml:space="preserve">, Pham Thu Thuy, Indah </w:t>
      </w:r>
      <w:proofErr w:type="spellStart"/>
      <w:r w:rsidRPr="00505987">
        <w:rPr>
          <w:rFonts w:eastAsia="Times New Roman"/>
        </w:rPr>
        <w:t>Waty</w:t>
      </w:r>
      <w:proofErr w:type="spellEnd"/>
      <w:r w:rsidRPr="00505987">
        <w:rPr>
          <w:rFonts w:eastAsia="Times New Roman"/>
        </w:rPr>
        <w:t xml:space="preserve"> Bong, Grace Yee Wong and Maria </w:t>
      </w:r>
      <w:proofErr w:type="spellStart"/>
      <w:r w:rsidRPr="00505987">
        <w:rPr>
          <w:rFonts w:eastAsia="Times New Roman"/>
        </w:rPr>
        <w:t>Brockhaus</w:t>
      </w:r>
      <w:proofErr w:type="spellEnd"/>
      <w:r w:rsidRPr="00505987">
        <w:rPr>
          <w:rFonts w:eastAsia="Times New Roman"/>
        </w:rPr>
        <w:t>.</w:t>
      </w:r>
      <w:proofErr w:type="gramEnd"/>
      <w:r w:rsidRPr="00505987">
        <w:rPr>
          <w:rFonts w:eastAsia="Times New Roman"/>
        </w:rPr>
        <w:t xml:space="preserve"> Forest and society, 2017, volume 1, number 2.</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0" w:tgtFrame="_blank" w:history="1">
        <w:r w:rsidRPr="00505987">
          <w:rPr>
            <w:rFonts w:eastAsia="Times New Roman"/>
            <w:color w:val="0000FF"/>
            <w:u w:val="single"/>
          </w:rPr>
          <w:t>http://journal.unhas.ac.id/index.php/fs/article/view/2484</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Community forestry or social forestry (henceforth referred collectively as SF) programs have become new modes of forest management empowering local managers and hence, allowing integration of diverse local practices and support of local livelihoods.  </w:t>
      </w:r>
      <w:proofErr w:type="gramStart"/>
      <w:r w:rsidRPr="00505987">
        <w:rPr>
          <w:rFonts w:eastAsia="Times New Roman"/>
        </w:rPr>
        <w:t>Implementation of these initiatives, however, face</w:t>
      </w:r>
      <w:proofErr w:type="gramEnd"/>
      <w:r w:rsidRPr="00505987">
        <w:rPr>
          <w:rFonts w:eastAsia="Times New Roman"/>
        </w:rPr>
        <w:t xml:space="preserve"> multiple challenges. State-prescribed community programs, for example, will remain isolated efforts if changes in the overall economic and social governance frameworks, including the devolution of rights to local users is lacking. Financial sustainability of these measures remains often uncertain and equity issues inherent to groups and communities formed for </w:t>
      </w:r>
      <w:proofErr w:type="gramStart"/>
      <w:r w:rsidRPr="00505987">
        <w:rPr>
          <w:rFonts w:eastAsia="Times New Roman"/>
        </w:rPr>
        <w:t>SF,</w:t>
      </w:r>
      <w:proofErr w:type="gramEnd"/>
      <w:r w:rsidRPr="00505987">
        <w:rPr>
          <w:rFonts w:eastAsia="Times New Roman"/>
        </w:rPr>
        <w:t xml:space="preserve"> can be exacerbated. In this article, we pose the question: Whose interests do SF policies serve? The effectiveness of SF would depend on the motivations and aims for a decentralization of forest governance to the community. In order to understand the underlying motivations behind the governments’ push for SF, we examine national policies in Vietnam and Indonesia, changes in their policies over time and the shift in discourses influencing how SF has evolved. Vietnam and Indonesia are at different sides of the spectrum in democratic ambitions and forest abundance, and present an intriguing </w:t>
      </w:r>
      <w:r w:rsidRPr="00505987">
        <w:rPr>
          <w:rFonts w:eastAsia="Times New Roman"/>
        </w:rPr>
        <w:lastRenderedPageBreak/>
        <w:t>comparison in the recent regional push towards SF in Southeast Asia.  We discuss the different interpretations of SF in these two countries and how SF programs are implemented. Our results show that governments, influenced by global discourse, are attempting to regulate SF through formal definitions and regulations.  Communities on the other hand, might resist by adopting, adapting or rejecting formal schemes.  In this tension, SF, in general adopted to serve the interest of local people, in practice SF has not fulfilled its promise.</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outlineLvl w:val="1"/>
        <w:rPr>
          <w:rFonts w:eastAsia="Times New Roman"/>
          <w:b/>
          <w:bCs/>
          <w:sz w:val="36"/>
          <w:szCs w:val="36"/>
        </w:rPr>
      </w:pPr>
      <w:bookmarkStart w:id="8" w:name="m_-7077294561771739990__Toc500340579"/>
      <w:r w:rsidRPr="00505987">
        <w:rPr>
          <w:rFonts w:ascii="Calibri" w:eastAsia="Times New Roman" w:hAnsi="Calibri"/>
          <w:b/>
          <w:bCs/>
          <w:color w:val="800000"/>
          <w:sz w:val="22"/>
          <w:szCs w:val="22"/>
        </w:rPr>
        <w:t xml:space="preserve">Barriers to Implementing Irrigation and Drainage Policies in </w:t>
      </w:r>
      <w:proofErr w:type="gramStart"/>
      <w:r w:rsidRPr="00505987">
        <w:rPr>
          <w:rFonts w:ascii="Calibri" w:eastAsia="Times New Roman" w:hAnsi="Calibri"/>
          <w:b/>
          <w:bCs/>
          <w:color w:val="800000"/>
          <w:sz w:val="22"/>
          <w:szCs w:val="22"/>
        </w:rPr>
        <w:t>An</w:t>
      </w:r>
      <w:proofErr w:type="gramEnd"/>
      <w:r w:rsidRPr="00505987">
        <w:rPr>
          <w:rFonts w:ascii="Calibri" w:eastAsia="Times New Roman" w:hAnsi="Calibri"/>
          <w:b/>
          <w:bCs/>
          <w:color w:val="800000"/>
          <w:sz w:val="22"/>
          <w:szCs w:val="22"/>
        </w:rPr>
        <w:t xml:space="preserve"> </w:t>
      </w:r>
      <w:proofErr w:type="spellStart"/>
      <w:r w:rsidRPr="00505987">
        <w:rPr>
          <w:rFonts w:ascii="Calibri" w:eastAsia="Times New Roman" w:hAnsi="Calibri"/>
          <w:b/>
          <w:bCs/>
          <w:color w:val="800000"/>
          <w:sz w:val="22"/>
          <w:szCs w:val="22"/>
        </w:rPr>
        <w:t>Giang</w:t>
      </w:r>
      <w:proofErr w:type="spellEnd"/>
      <w:r w:rsidRPr="00505987">
        <w:rPr>
          <w:rFonts w:ascii="Calibri" w:eastAsia="Times New Roman" w:hAnsi="Calibri"/>
          <w:b/>
          <w:bCs/>
          <w:color w:val="800000"/>
          <w:sz w:val="22"/>
          <w:szCs w:val="22"/>
        </w:rPr>
        <w:t xml:space="preserve"> Province, Mekong Delta, Vietnam.</w:t>
      </w:r>
      <w:bookmarkEnd w:id="8"/>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D. D. Tran and J. </w:t>
      </w:r>
      <w:proofErr w:type="spellStart"/>
      <w:r w:rsidRPr="00505987">
        <w:rPr>
          <w:rFonts w:eastAsia="Times New Roman"/>
        </w:rPr>
        <w:t>Weger</w:t>
      </w:r>
      <w:proofErr w:type="spellEnd"/>
      <w:r w:rsidRPr="00505987">
        <w:rPr>
          <w:rFonts w:eastAsia="Times New Roman"/>
        </w:rPr>
        <w:t xml:space="preserve">. </w:t>
      </w:r>
      <w:proofErr w:type="gramStart"/>
      <w:r w:rsidRPr="00505987">
        <w:rPr>
          <w:rFonts w:eastAsia="Times New Roman"/>
        </w:rPr>
        <w:t>Irrigation and Drainage,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1" w:tgtFrame="_blank" w:history="1">
        <w:r w:rsidRPr="00505987">
          <w:rPr>
            <w:rFonts w:eastAsia="Times New Roman"/>
            <w:color w:val="0000FF"/>
            <w:u w:val="single"/>
          </w:rPr>
          <w:t>http://dx.doi.org/10.1002/ird.2172</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Water management in delta floodplains worldwide faces many challenges due to the changing climate and increasing human intervention in the hydrological regimes of rivers. Irrigation and drainage systems are necessary components of a water management strategy that aims to support human habitation and agricultural production, but which need effective coordination in order to adapt to exogenous impacts. However, management of such systems often fails for a variety of reasons. In the floodplain of the Vietnamese Mekong Delta, irrigation and drainage systems under dike protection confront ineffective implementation of water management policy, posing a challenge for adaptation to exogenous impacts on the hydrological regime. Over the past two decades, farmers have increasingly cultivated annual triple-rice crops in high-dike compartments, ignoring government regulations that call for flood retention. This study analyses interviews with farmers to identify their motivation for not implementing the triennial cropping off-season advised by the local government (3–3–2 cycle). Our findings show that farmers have avoided implementing the 3–3–2 cycle because of various disadvantages that the system presents for them. Local officials, in turn, have accepted farmers' disregard of the rule. Lessons learnt from this study are considered to explore measures to effectively adapt to future hydrological changes.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9" w:name="m_-7077294561771739990__Toc500340580"/>
      <w:r w:rsidRPr="00505987">
        <w:rPr>
          <w:rFonts w:ascii="Calibri" w:eastAsia="Times New Roman" w:hAnsi="Calibri"/>
          <w:b/>
          <w:bCs/>
          <w:color w:val="800000"/>
          <w:sz w:val="22"/>
          <w:szCs w:val="22"/>
        </w:rPr>
        <w:t>Social learning through rural communities of practice: Empirical evidence from farming households in the Vietnamese Mekong Delta.</w:t>
      </w:r>
      <w:bookmarkEnd w:id="9"/>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Thong Anh Tran, Helen James and Jamie </w:t>
      </w:r>
      <w:proofErr w:type="spellStart"/>
      <w:r w:rsidRPr="00505987">
        <w:rPr>
          <w:rFonts w:eastAsia="Times New Roman"/>
        </w:rPr>
        <w:t>Pittock</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Learning, Culture and Social Interaction,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The social-ecological systems of the Vietnamese Mekong Delta (VMD) are under stress driven by accelerating impacts of climate change, upstream hydropower development, and local flood management policies. These combined complexities have prompted the rural societies to make significant efforts to adapt to changing conditions. While local adaptation represents diverse patterns of communication and interactions across the social sectors, far less attention has been given to how these learning processes occur in the rural communities of practice. This paper attempts to delineate the learning dynamics in which farming households are key practitioners. The mixed methods approach that guides data collection includes focus group discussions, in-depth interviews with key informants and household surveys. The analysis suggests that social learning plays a significant role in facilitating the adoption and dissemination of experiential and experimental knowledge across geographical boundaries. This study highlights important aspects of households' social learning system characterized by informal networks with various forms of bonding and bridging relationships. These learning patterns suggest that informal communication is a dominant learning approach in the rural delta. This study contributes to advancing the theoretical and empirical knowledge of social learning and its policy implications for rural development in the VMD.</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10" w:name="m_-7077294561771739990__Toc500340581"/>
      <w:r w:rsidRPr="00505987">
        <w:rPr>
          <w:rFonts w:eastAsia="Times New Roman"/>
          <w:b/>
          <w:bCs/>
          <w:kern w:val="36"/>
          <w:sz w:val="48"/>
          <w:szCs w:val="48"/>
          <w:shd w:val="clear" w:color="auto" w:fill="D3D3D3"/>
        </w:rPr>
        <w:t>Economic development</w:t>
      </w:r>
      <w:bookmarkEnd w:id="10"/>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1" w:name="m_-7077294561771739990__Toc500340582"/>
      <w:proofErr w:type="gramStart"/>
      <w:r w:rsidRPr="00505987">
        <w:rPr>
          <w:rFonts w:ascii="Calibri" w:eastAsia="Times New Roman" w:hAnsi="Calibri"/>
          <w:b/>
          <w:bCs/>
          <w:color w:val="800000"/>
          <w:sz w:val="22"/>
          <w:szCs w:val="22"/>
        </w:rPr>
        <w:t>Competition Policy and SME Development in Vietnam.</w:t>
      </w:r>
      <w:bookmarkEnd w:id="11"/>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Viet Le and Charles </w:t>
      </w:r>
      <w:proofErr w:type="spellStart"/>
      <w:r w:rsidRPr="00505987">
        <w:rPr>
          <w:rFonts w:eastAsia="Times New Roman"/>
        </w:rPr>
        <w:t>Harvie</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xml:space="preserve">: Competition Law, Regulation and SMEs in the Asia-Pacific: Understanding the Small Business Perspective, ISEAS – </w:t>
      </w:r>
      <w:proofErr w:type="spellStart"/>
      <w:r w:rsidRPr="00505987">
        <w:rPr>
          <w:rFonts w:eastAsia="Times New Roman"/>
        </w:rPr>
        <w:t>Yusof</w:t>
      </w:r>
      <w:proofErr w:type="spellEnd"/>
      <w:r w:rsidRPr="00505987">
        <w:rPr>
          <w:rFonts w:eastAsia="Times New Roman"/>
        </w:rPr>
        <w:t xml:space="preserve"> </w:t>
      </w:r>
      <w:proofErr w:type="spellStart"/>
      <w:r w:rsidRPr="00505987">
        <w:rPr>
          <w:rFonts w:eastAsia="Times New Roman"/>
        </w:rPr>
        <w:t>Ishak</w:t>
      </w:r>
      <w:proofErr w:type="spellEnd"/>
      <w:r w:rsidRPr="00505987">
        <w:rPr>
          <w:rFonts w:eastAsia="Times New Roman"/>
        </w:rPr>
        <w:t xml:space="preserve"> Institute, 2016.</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Small and medium-sized enterprises (SMEs) account for more than 90 per cent of all businesses in the Asia-Pacific region —</w:t>
      </w:r>
      <w:proofErr w:type="gramStart"/>
      <w:r w:rsidRPr="00505987">
        <w:rPr>
          <w:rFonts w:eastAsia="Times New Roman"/>
        </w:rPr>
        <w:t>  an</w:t>
      </w:r>
      <w:proofErr w:type="gramEnd"/>
      <w:r w:rsidRPr="00505987">
        <w:rPr>
          <w:rFonts w:eastAsia="Times New Roman"/>
        </w:rPr>
        <w:t xml:space="preserve"> area which is rapidly updating its competition laws and regulations to encourage greater entrepreneurship and open, dynamic economies. Yet SMEs are almost invisible when those competition policies and laws are developed and enforced. SMEs are often quite different businesses than large, multinational corporations, but their nature, significance and characteristics are often overlooked. This book seeks to rectify the relative neglect in research and policy discussions on the role of the SME sector in competition policy </w:t>
      </w:r>
      <w:r w:rsidRPr="00505987">
        <w:rPr>
          <w:rFonts w:eastAsia="Times New Roman"/>
        </w:rPr>
        <w:lastRenderedPageBreak/>
        <w:t>and law. Drawing on contributions from a wide range of competition regulators, lawyers, academics, consultants and advisers to the SME sector, it addresses such important issues as: •perceptions and views of small businesses about competition law; •regulator engagement and education of the SME sector; •the link between competition law and economic growth; •franchising, SMEs and competition law; •issues in enforcing competition law against SMEs; •the role of Chinese family firms; •trade, professional and industry associations; •country case studies from Vietnam, Singapore, Indonesia, Malaysia, China, South Korea, Hong Kong SAR, Japan and the Pacific Islands.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2" w:name="m_-7077294561771739990__Toc500340583"/>
      <w:proofErr w:type="gramStart"/>
      <w:r w:rsidRPr="00505987">
        <w:rPr>
          <w:rFonts w:ascii="Calibri" w:eastAsia="Times New Roman" w:hAnsi="Calibri"/>
          <w:b/>
          <w:bCs/>
          <w:color w:val="800000"/>
          <w:sz w:val="22"/>
          <w:szCs w:val="22"/>
        </w:rPr>
        <w:t>Vietnamese State-owned Enterprises under International Economic Integration.</w:t>
      </w:r>
      <w:bookmarkEnd w:id="12"/>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FUJITA Mai.</w:t>
      </w:r>
      <w:proofErr w:type="gramEnd"/>
      <w:r w:rsidRPr="00505987">
        <w:rPr>
          <w:rFonts w:eastAsia="Times New Roman"/>
        </w:rPr>
        <w:t xml:space="preserve"> </w:t>
      </w:r>
      <w:proofErr w:type="gramStart"/>
      <w:r w:rsidRPr="00505987">
        <w:rPr>
          <w:rFonts w:eastAsia="Times New Roman"/>
        </w:rPr>
        <w:t>DPRIETI Discussion Paper Series 17-E-121,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2" w:tgtFrame="_blank" w:history="1">
        <w:r w:rsidRPr="00505987">
          <w:rPr>
            <w:rFonts w:eastAsia="Times New Roman"/>
            <w:color w:val="0000FF"/>
            <w:u w:val="single"/>
          </w:rPr>
          <w:t>https://www.rieti.go.jp/jp/publications/dp/17e121.pdf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paper examines the progress and outcomes of state-owned enterprise (SOE) reforms under international economic integration in Vietnam. While the literature has focused primarily on strategic SOEs that have been largely treated as exceptions under international commitments or domestic reforms, the paper focuses on the Vietnam National Textile and Garment Group (</w:t>
      </w:r>
      <w:proofErr w:type="spellStart"/>
      <w:r w:rsidRPr="00505987">
        <w:rPr>
          <w:rFonts w:eastAsia="Times New Roman"/>
        </w:rPr>
        <w:t>Vinatex</w:t>
      </w:r>
      <w:proofErr w:type="spellEnd"/>
      <w:r w:rsidRPr="00505987">
        <w:rPr>
          <w:rFonts w:eastAsia="Times New Roman"/>
        </w:rPr>
        <w:t xml:space="preserve">), a major SOE group in the textile and garment (T&amp;G) industry in which the impact of international economic integration was expected to be substantial. The main findings are as follows. First, unlike large-scale SOEs in strategic sectors that receive the most attention in the literature, the transformation of </w:t>
      </w:r>
      <w:proofErr w:type="spellStart"/>
      <w:r w:rsidRPr="00505987">
        <w:rPr>
          <w:rFonts w:eastAsia="Times New Roman"/>
        </w:rPr>
        <w:t>Vinatex</w:t>
      </w:r>
      <w:proofErr w:type="spellEnd"/>
      <w:r w:rsidRPr="00505987">
        <w:rPr>
          <w:rFonts w:eastAsia="Times New Roman"/>
        </w:rPr>
        <w:t xml:space="preserve"> in terms of ownership, organization, policy roles, and relationship with the state, albeit incomplete, has made significant progress. Second, nevertheless, there are indications that </w:t>
      </w:r>
      <w:proofErr w:type="spellStart"/>
      <w:r w:rsidRPr="00505987">
        <w:rPr>
          <w:rFonts w:eastAsia="Times New Roman"/>
        </w:rPr>
        <w:t>Vinatex’s</w:t>
      </w:r>
      <w:proofErr w:type="spellEnd"/>
      <w:r w:rsidRPr="00505987">
        <w:rPr>
          <w:rFonts w:eastAsia="Times New Roman"/>
        </w:rPr>
        <w:t xml:space="preserve"> relationship with the state and its non-commercial roles may continue in subtle and indirect forms. Third, with the entry and growth of foreign-invested and domestic private enterprises, both SOEs and </w:t>
      </w:r>
      <w:proofErr w:type="spellStart"/>
      <w:r w:rsidRPr="00505987">
        <w:rPr>
          <w:rFonts w:eastAsia="Times New Roman"/>
        </w:rPr>
        <w:t>Vinatex</w:t>
      </w:r>
      <w:proofErr w:type="spellEnd"/>
      <w:r w:rsidRPr="00505987">
        <w:rPr>
          <w:rFonts w:eastAsia="Times New Roman"/>
        </w:rPr>
        <w:t xml:space="preserve"> have lost shares in the T&amp;G industry. However, some </w:t>
      </w:r>
      <w:proofErr w:type="spellStart"/>
      <w:r w:rsidRPr="00505987">
        <w:rPr>
          <w:rFonts w:eastAsia="Times New Roman"/>
        </w:rPr>
        <w:t>Vinatex</w:t>
      </w:r>
      <w:proofErr w:type="spellEnd"/>
      <w:r w:rsidRPr="00505987">
        <w:rPr>
          <w:rFonts w:eastAsia="Times New Roman"/>
        </w:rPr>
        <w:t xml:space="preserve"> members stay among the country’s top garment exporters, successfully competing with their </w:t>
      </w:r>
      <w:proofErr w:type="spellStart"/>
      <w:r w:rsidRPr="00505987">
        <w:rPr>
          <w:rFonts w:eastAsia="Times New Roman"/>
        </w:rPr>
        <w:t>foreigninvested</w:t>
      </w:r>
      <w:proofErr w:type="spellEnd"/>
      <w:r w:rsidRPr="00505987">
        <w:rPr>
          <w:rFonts w:eastAsia="Times New Roman"/>
        </w:rPr>
        <w:t xml:space="preserve"> rivals. These findings suggest the recent realities of Vietnamese SOEs that are increasingly hybrid, similar to those in many other countries.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3" w:name="m_-7077294561771739990__Toc500340584"/>
      <w:r w:rsidRPr="00505987">
        <w:rPr>
          <w:rFonts w:ascii="Calibri" w:eastAsia="Times New Roman" w:hAnsi="Calibri"/>
          <w:b/>
          <w:bCs/>
          <w:color w:val="800000"/>
          <w:sz w:val="22"/>
          <w:szCs w:val="22"/>
        </w:rPr>
        <w:t>Does Economic Growth Increase Inequality</w:t>
      </w:r>
      <w:proofErr w:type="gramStart"/>
      <w:r w:rsidRPr="00505987">
        <w:rPr>
          <w:rFonts w:ascii="Calibri" w:eastAsia="Times New Roman" w:hAnsi="Calibri"/>
          <w:b/>
          <w:bCs/>
          <w:color w:val="800000"/>
          <w:sz w:val="22"/>
          <w:szCs w:val="22"/>
        </w:rPr>
        <w:t>?:</w:t>
      </w:r>
      <w:proofErr w:type="gramEnd"/>
      <w:r w:rsidRPr="00505987">
        <w:rPr>
          <w:rFonts w:ascii="Calibri" w:eastAsia="Times New Roman" w:hAnsi="Calibri"/>
          <w:b/>
          <w:bCs/>
          <w:color w:val="800000"/>
          <w:sz w:val="22"/>
          <w:szCs w:val="22"/>
        </w:rPr>
        <w:t xml:space="preserve"> An Empirical Analysis for ASEAN Countries, China and India.</w:t>
      </w:r>
      <w:bookmarkEnd w:id="13"/>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lastRenderedPageBreak/>
        <w:t>Partha</w:t>
      </w:r>
      <w:proofErr w:type="spellEnd"/>
      <w:r w:rsidRPr="00505987">
        <w:rPr>
          <w:rFonts w:eastAsia="Times New Roman"/>
        </w:rPr>
        <w:t xml:space="preserve"> </w:t>
      </w:r>
      <w:proofErr w:type="spellStart"/>
      <w:r w:rsidRPr="00505987">
        <w:rPr>
          <w:rFonts w:eastAsia="Times New Roman"/>
        </w:rPr>
        <w:t>Gangopadhyay</w:t>
      </w:r>
      <w:proofErr w:type="spellEnd"/>
      <w:r w:rsidRPr="00505987">
        <w:rPr>
          <w:rFonts w:eastAsia="Times New Roman"/>
        </w:rPr>
        <w:t xml:space="preserve"> and </w:t>
      </w:r>
      <w:proofErr w:type="spellStart"/>
      <w:r w:rsidRPr="00505987">
        <w:rPr>
          <w:rFonts w:eastAsia="Times New Roman"/>
        </w:rPr>
        <w:t>Biswa</w:t>
      </w:r>
      <w:proofErr w:type="spellEnd"/>
      <w:r w:rsidRPr="00505987">
        <w:rPr>
          <w:rFonts w:eastAsia="Times New Roman"/>
        </w:rPr>
        <w:t xml:space="preserve"> </w:t>
      </w:r>
      <w:proofErr w:type="spellStart"/>
      <w:r w:rsidRPr="00505987">
        <w:rPr>
          <w:rFonts w:eastAsia="Times New Roman"/>
        </w:rPr>
        <w:t>Nath</w:t>
      </w:r>
      <w:proofErr w:type="spellEnd"/>
      <w:r w:rsidRPr="00505987">
        <w:rPr>
          <w:rFonts w:eastAsia="Times New Roman"/>
        </w:rPr>
        <w:t xml:space="preserve"> </w:t>
      </w:r>
      <w:proofErr w:type="spellStart"/>
      <w:r w:rsidRPr="00505987">
        <w:rPr>
          <w:rFonts w:eastAsia="Times New Roman"/>
        </w:rPr>
        <w:t>Bhattacharyay</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Inequality, Poverty and Development in India: Focus on the North Eastern Region, Springer Singapore, Singapore, 2017, pp. 3-30.</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Even though 10 member countries of the Associations of Southeast Asian Nations (ASEAN), People’s Republic of China and India (ACI) have adopted polices for archiving more pro-poor or inclusive growth. However, income and non-income inequality in ACI have witnessed an increasing trend in recent years. In view of rising inequality in fast growing Asian developing countries, it is important to study the relationship between economic growth and income inequity which could assist policy makers to adopt appropriate policy action for more inclusive growth. This paper undertakes an empirical analysis to examine if economic growth increases income inequality for ACI. The objectives of the paper are: (</w:t>
      </w:r>
      <w:proofErr w:type="spellStart"/>
      <w:r w:rsidRPr="00505987">
        <w:rPr>
          <w:rFonts w:eastAsia="Times New Roman"/>
        </w:rPr>
        <w:t>i</w:t>
      </w:r>
      <w:proofErr w:type="spellEnd"/>
      <w:r w:rsidRPr="00505987">
        <w:rPr>
          <w:rFonts w:eastAsia="Times New Roman"/>
        </w:rPr>
        <w:t>) to develop a simple model of policy-induced growth which shows a nonlinear and wave-like relationship between growth and inequality; (ii) to provide an empirical support to the above model to establish that the intention to use economic growth and inequality as policy instruments to shape economic development can backfire since the possibility of a wave-like function receives an empirical support from ACI data; and (iii) to exhibit that the nonlinear relationship between growth and inequality within ACI nations is mainly driven by the availability of foreign direct investment (FDI). In addition, the paper finds other interesting elements in the relationship between growth and inequality which has profound policy implications for the ACI Economies.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4" w:name="m_-7077294561771739990__Toc500340585"/>
      <w:proofErr w:type="gramStart"/>
      <w:r w:rsidRPr="00505987">
        <w:rPr>
          <w:rFonts w:ascii="Calibri" w:eastAsia="Times New Roman" w:hAnsi="Calibri"/>
          <w:b/>
          <w:bCs/>
          <w:color w:val="800000"/>
          <w:sz w:val="22"/>
          <w:szCs w:val="22"/>
        </w:rPr>
        <w:t>Current Status and Traits of the Auto Parts Industry in Viet Nam.</w:t>
      </w:r>
      <w:bookmarkEnd w:id="14"/>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Hideo KOBAYASHI. </w:t>
      </w:r>
      <w:proofErr w:type="gramStart"/>
      <w:r w:rsidRPr="00505987">
        <w:rPr>
          <w:rFonts w:eastAsia="Times New Roman"/>
        </w:rPr>
        <w:t>ERIA Discussion Paper Series ERIA-DP-2017-06,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3" w:tgtFrame="_blank" w:history="1">
        <w:r w:rsidRPr="00505987">
          <w:rPr>
            <w:rFonts w:eastAsia="Times New Roman"/>
            <w:color w:val="0000FF"/>
            <w:u w:val="single"/>
          </w:rPr>
          <w:t>http://www.eria.org/ERIA-DP-2017-06.pdf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study aims to clarify the current situation and traits of the </w:t>
      </w:r>
      <w:proofErr w:type="spellStart"/>
      <w:r w:rsidRPr="00505987">
        <w:rPr>
          <w:rFonts w:eastAsia="Times New Roman"/>
        </w:rPr>
        <w:t>Iletnamese</w:t>
      </w:r>
      <w:proofErr w:type="spellEnd"/>
      <w:r w:rsidRPr="00505987">
        <w:rPr>
          <w:rFonts w:eastAsia="Times New Roman"/>
        </w:rPr>
        <w:t xml:space="preserve"> automobile industry by showing the status of its automobile and auto parts industry. The whole picture of the automobile industry in </w:t>
      </w:r>
      <w:proofErr w:type="spellStart"/>
      <w:r w:rsidRPr="00505987">
        <w:rPr>
          <w:rFonts w:eastAsia="Times New Roman"/>
        </w:rPr>
        <w:t>Tlet</w:t>
      </w:r>
      <w:proofErr w:type="spellEnd"/>
      <w:r w:rsidRPr="00505987">
        <w:rPr>
          <w:rFonts w:eastAsia="Times New Roman"/>
        </w:rPr>
        <w:t xml:space="preserve"> Nam is discussed first, and then the vulnerability of the auto parts </w:t>
      </w:r>
      <w:proofErr w:type="spellStart"/>
      <w:r w:rsidRPr="00505987">
        <w:rPr>
          <w:rFonts w:eastAsia="Times New Roman"/>
        </w:rPr>
        <w:t>inchcshy</w:t>
      </w:r>
      <w:proofErr w:type="spellEnd"/>
      <w:r w:rsidRPr="00505987">
        <w:rPr>
          <w:rFonts w:eastAsia="Times New Roman"/>
        </w:rPr>
        <w:t xml:space="preserve">, which is the biggest feature and an issue to be addressed in the </w:t>
      </w:r>
      <w:proofErr w:type="spellStart"/>
      <w:r w:rsidRPr="00505987">
        <w:rPr>
          <w:rFonts w:eastAsia="Times New Roman"/>
        </w:rPr>
        <w:t>fitture</w:t>
      </w:r>
      <w:proofErr w:type="spellEnd"/>
      <w:r w:rsidRPr="00505987">
        <w:rPr>
          <w:rFonts w:eastAsia="Times New Roman"/>
        </w:rPr>
        <w:t xml:space="preserve">, is highlighted as it is the auto parts industry that ultimately determines the competitiveness of the auto industry. The study looked at studies that have been undertaken on this subject The number of analytical studies dedicated to the auto industry in T4et Nam is extremely Besides, most of them have been conducted only in the context of the Association of Southeast Asian Nations (ASEAN) automobile industry in general. Studies by </w:t>
      </w:r>
      <w:proofErr w:type="spellStart"/>
      <w:r w:rsidRPr="00505987">
        <w:rPr>
          <w:rFonts w:eastAsia="Times New Roman"/>
        </w:rPr>
        <w:t>Thtsuya</w:t>
      </w:r>
      <w:proofErr w:type="spellEnd"/>
      <w:r w:rsidRPr="00505987">
        <w:rPr>
          <w:rFonts w:eastAsia="Times New Roman"/>
        </w:rPr>
        <w:t xml:space="preserve"> Kobayashi (2013) and 1ngshan fin (2016) are among them. These studies are basically intended to provide the actual picture of the automobile industry in </w:t>
      </w:r>
      <w:proofErr w:type="spellStart"/>
      <w:r w:rsidRPr="00505987">
        <w:rPr>
          <w:rFonts w:eastAsia="Times New Roman"/>
        </w:rPr>
        <w:t>Tlet</w:t>
      </w:r>
      <w:proofErr w:type="spellEnd"/>
      <w:r w:rsidRPr="00505987">
        <w:rPr>
          <w:rFonts w:eastAsia="Times New Roman"/>
        </w:rPr>
        <w:t xml:space="preserve"> Nam. This research paper will foal on the auto parts industry in net Nam with the aim of getting closer to its core. It should be noted that many of auto parts suppliers in r4et Nam have started operations as motorcycle parts suppliers, and some of them have transformed from motorcycle to auto parts suppliers. Section I describes the establishment of the motorcycle </w:t>
      </w:r>
      <w:r w:rsidRPr="00505987">
        <w:rPr>
          <w:rFonts w:eastAsia="Times New Roman"/>
        </w:rPr>
        <w:lastRenderedPageBreak/>
        <w:t xml:space="preserve">industry in Mt Nam and the formation and expansion of the motorcycle parts industry. Section 2 describes the start of automobile production and the peculiarity of the supply chain formation. Section 3 discusses the possibility of converting from motorcycle parts suppliers to auto parts suppliers. During this process, the global value chain advocated by Gary </w:t>
      </w:r>
      <w:proofErr w:type="spellStart"/>
      <w:r w:rsidRPr="00505987">
        <w:rPr>
          <w:rFonts w:eastAsia="Times New Roman"/>
        </w:rPr>
        <w:t>Gerejfi</w:t>
      </w:r>
      <w:proofErr w:type="spellEnd"/>
      <w:r w:rsidRPr="00505987">
        <w:rPr>
          <w:rFonts w:eastAsia="Times New Roman"/>
        </w:rPr>
        <w:t xml:space="preserve"> and Miguel </w:t>
      </w:r>
      <w:proofErr w:type="spellStart"/>
      <w:r w:rsidRPr="00505987">
        <w:rPr>
          <w:rFonts w:eastAsia="Times New Roman"/>
        </w:rPr>
        <w:t>Korzeniewicz</w:t>
      </w:r>
      <w:proofErr w:type="spellEnd"/>
      <w:r w:rsidRPr="00505987">
        <w:rPr>
          <w:rFonts w:eastAsia="Times New Roman"/>
        </w:rPr>
        <w:t xml:space="preserve"> (1994) is considered to see if and how it will apply and evolve in Mt Nam.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5" w:name="m_-7077294561771739990__Toc500340586"/>
      <w:r w:rsidRPr="00505987">
        <w:rPr>
          <w:rFonts w:ascii="Calibri" w:eastAsia="Times New Roman" w:hAnsi="Calibri"/>
          <w:b/>
          <w:bCs/>
          <w:color w:val="800000"/>
          <w:sz w:val="22"/>
          <w:szCs w:val="22"/>
        </w:rPr>
        <w:t>Where do the advanced countries invest? An investigation of capital flows from advanced countries to emerging economies.</w:t>
      </w:r>
      <w:bookmarkEnd w:id="15"/>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Xuan </w:t>
      </w:r>
      <w:proofErr w:type="spellStart"/>
      <w:r w:rsidRPr="00505987">
        <w:rPr>
          <w:rFonts w:eastAsia="Times New Roman"/>
        </w:rPr>
        <w:t>Vinh</w:t>
      </w:r>
      <w:proofErr w:type="spellEnd"/>
      <w:r w:rsidRPr="00505987">
        <w:rPr>
          <w:rFonts w:eastAsia="Times New Roman"/>
        </w:rPr>
        <w:t xml:space="preserve"> </w:t>
      </w:r>
      <w:proofErr w:type="gramStart"/>
      <w:r w:rsidRPr="00505987">
        <w:rPr>
          <w:rFonts w:eastAsia="Times New Roman"/>
        </w:rPr>
        <w:t>Vo</w:t>
      </w:r>
      <w:proofErr w:type="gramEnd"/>
      <w:r w:rsidRPr="00505987">
        <w:rPr>
          <w:rFonts w:eastAsia="Times New Roman"/>
        </w:rPr>
        <w:t xml:space="preserve">, Dong </w:t>
      </w:r>
      <w:proofErr w:type="spellStart"/>
      <w:r w:rsidRPr="00505987">
        <w:rPr>
          <w:rFonts w:eastAsia="Times New Roman"/>
        </w:rPr>
        <w:t>Phong</w:t>
      </w:r>
      <w:proofErr w:type="spellEnd"/>
      <w:r w:rsidRPr="00505987">
        <w:rPr>
          <w:rFonts w:eastAsia="Times New Roman"/>
        </w:rPr>
        <w:t xml:space="preserve"> Nguyen, Viet Tien Ho and </w:t>
      </w:r>
      <w:proofErr w:type="spellStart"/>
      <w:r w:rsidRPr="00505987">
        <w:rPr>
          <w:rFonts w:eastAsia="Times New Roman"/>
        </w:rPr>
        <w:t>Trung</w:t>
      </w:r>
      <w:proofErr w:type="spellEnd"/>
      <w:r w:rsidRPr="00505987">
        <w:rPr>
          <w:rFonts w:eastAsia="Times New Roman"/>
        </w:rPr>
        <w:t xml:space="preserve"> Thong Nguyen. </w:t>
      </w:r>
      <w:proofErr w:type="gramStart"/>
      <w:r w:rsidRPr="00505987">
        <w:rPr>
          <w:rFonts w:eastAsia="Times New Roman"/>
        </w:rPr>
        <w:t>Journal of International Financial Markets, Institutions &amp; Money, 2017, volume 51.</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paper examines determinants of foreign portfolio investment (FPI) from the developed countries to emerging economies using the new data from the IMF’s large coordinated portfolio investment surveys. Employing an assortment of econometric techniques, we attempt to shed further light on the determinants bilateral FPI capital flows with a number of contributions to the current literature. This paper advances other previous study by utilizing the new disaggregated FPI capital flows and a number of broad differentials. We find that portfolio investors from G7 countries tend to depart from efficient portfolio allocation and they are biased towards some differentials between source and recipient countries.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6" w:name="m_-7077294561771739990__Toc500340587"/>
      <w:proofErr w:type="gramStart"/>
      <w:r w:rsidRPr="00505987">
        <w:rPr>
          <w:rFonts w:ascii="Calibri" w:eastAsia="Times New Roman" w:hAnsi="Calibri"/>
          <w:b/>
          <w:bCs/>
          <w:color w:val="800000"/>
          <w:sz w:val="22"/>
          <w:szCs w:val="22"/>
        </w:rPr>
        <w:t>Assessing the Impacts of Deeper Trade Reform in Vietnam in a General Equilibrium Framework.</w:t>
      </w:r>
      <w:bookmarkEnd w:id="16"/>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To Minh Thu and Hiro Lee.</w:t>
      </w:r>
      <w:proofErr w:type="gramEnd"/>
      <w:r w:rsidRPr="00505987">
        <w:rPr>
          <w:rFonts w:eastAsia="Times New Roman"/>
        </w:rPr>
        <w:t xml:space="preserve"> OSIPP Discussion Paper: DP-2017-E-005,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4" w:tgtFrame="_blank" w:history="1">
        <w:r w:rsidRPr="00505987">
          <w:rPr>
            <w:rFonts w:eastAsia="Times New Roman"/>
            <w:color w:val="0000FF"/>
            <w:u w:val="single"/>
          </w:rPr>
          <w:t>http://www.osipp.osaka-u.ac.jp/archives/DP/2017/DP2017E005.pdf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Vietnam is on the way to undertake deeper trade </w:t>
      </w:r>
      <w:proofErr w:type="spellStart"/>
      <w:r w:rsidRPr="00505987">
        <w:rPr>
          <w:rFonts w:eastAsia="Times New Roman"/>
        </w:rPr>
        <w:t>liberalisation</w:t>
      </w:r>
      <w:proofErr w:type="spellEnd"/>
      <w:r w:rsidRPr="00505987">
        <w:rPr>
          <w:rFonts w:eastAsia="Times New Roman"/>
        </w:rPr>
        <w:t xml:space="preserve">, including both tariff reductions and reforms in other trade-related areas. In this paper, the impacts of Vietnam’s trade reform on its economic welfare and sectoral adjustments are assessed using a dynamic computable general equilibrium (CGE) model. We consider the effects of goods and services trade </w:t>
      </w:r>
      <w:proofErr w:type="spellStart"/>
      <w:r w:rsidRPr="00505987">
        <w:rPr>
          <w:rFonts w:eastAsia="Times New Roman"/>
        </w:rPr>
        <w:t>liberalisation</w:t>
      </w:r>
      <w:proofErr w:type="spellEnd"/>
      <w:r w:rsidRPr="00505987">
        <w:rPr>
          <w:rFonts w:eastAsia="Times New Roman"/>
        </w:rPr>
        <w:t xml:space="preserve">, an increase in foreign direct investment inflows, a reduction in administrative </w:t>
      </w:r>
      <w:r w:rsidRPr="00505987">
        <w:rPr>
          <w:rFonts w:eastAsia="Times New Roman"/>
        </w:rPr>
        <w:lastRenderedPageBreak/>
        <w:t>and technical barriers to trade, and a reduction in the trade and transport margins. When all effects are combined, Vietnam’s economic welfare is projected to increase by 8.4 per cent in 2020 compared with the baseline. Many manufacturing sectors would expand, whereas agricultural, minerals and fuel sectors would contract. The output expansion is most significant in the textiles and wearing apparel sectors.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7" w:name="m_-7077294561771739990__Toc500340588"/>
      <w:r w:rsidRPr="00505987">
        <w:rPr>
          <w:rFonts w:ascii="Calibri" w:eastAsia="Times New Roman" w:hAnsi="Calibri"/>
          <w:b/>
          <w:bCs/>
          <w:color w:val="800000"/>
          <w:sz w:val="22"/>
          <w:szCs w:val="22"/>
        </w:rPr>
        <w:t>The Welfare and Sectoral Adjustment Effects of Mega-Regional Trade Agreements on ASEAN Countries.</w:t>
      </w:r>
      <w:bookmarkEnd w:id="17"/>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Hiro Lee and Ken </w:t>
      </w:r>
      <w:proofErr w:type="spellStart"/>
      <w:r w:rsidRPr="00505987">
        <w:rPr>
          <w:rFonts w:eastAsia="Times New Roman"/>
        </w:rPr>
        <w:t>Itakura</w:t>
      </w:r>
      <w:proofErr w:type="spellEnd"/>
      <w:r w:rsidRPr="00505987">
        <w:rPr>
          <w:rFonts w:eastAsia="Times New Roman"/>
        </w:rPr>
        <w:t>.</w:t>
      </w:r>
      <w:proofErr w:type="gramEnd"/>
      <w:r w:rsidRPr="00505987">
        <w:rPr>
          <w:rFonts w:eastAsia="Times New Roman"/>
        </w:rPr>
        <w:t xml:space="preserve"> OSIPP Discussion Paper: DP-2017-E-006,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5" w:tgtFrame="_blank" w:history="1">
        <w:r w:rsidRPr="00505987">
          <w:rPr>
            <w:rFonts w:eastAsia="Times New Roman"/>
            <w:color w:val="0000FF"/>
            <w:u w:val="single"/>
          </w:rPr>
          <w:t>http://www.osipp.osaka-u.ac.jp/archives/DP/2017/DP2017E006.pdf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The U.S. withdrawal from the Trans-Pacific Partnership (TPP) has had an influence on the prospects of mega-regional trade agreements (MRTAs). In the Asian Pacific, negotiations for the Regional Comprehensive Economic Partnership (RCEP) might accelerate. In addition, ministers from the 11 other TPP signatories have confirmed their intention to </w:t>
      </w:r>
      <w:proofErr w:type="gramStart"/>
      <w:r w:rsidRPr="00505987">
        <w:rPr>
          <w:rFonts w:eastAsia="Times New Roman"/>
        </w:rPr>
        <w:t>proceed</w:t>
      </w:r>
      <w:proofErr w:type="gramEnd"/>
      <w:r w:rsidRPr="00505987">
        <w:rPr>
          <w:rFonts w:eastAsia="Times New Roman"/>
        </w:rPr>
        <w:t xml:space="preserve"> with the TPP without U.S. participation. Using a dynamic computable general equilibrium (CGE) model, we estimate welfare and sectoral output adjustment effects of alternative sequencings of MRTAs on ASEAN countries. Welfare gains for ASEAN countries under the scenario led by the RCEP, followed by RCEP + Taiwan and a Free Trade Area of the Asia-Pacific (FTAAP), are greater than or equal to those under the scenario led by TPP sans US, followed by an enlarged TPP and an FTAAP. When the two scenarios are assumed to develop at the same time, welfare gains of the RCEP and TPP-11 countries are found to be less than the sum of the gains under the first two scenarios. For a number of ASEAN countries, output expansion of textiles and apparel and/or electronic equipment is significant.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18" w:name="m_-7077294561771739990__Toc500340589"/>
      <w:r w:rsidRPr="00505987">
        <w:rPr>
          <w:rFonts w:eastAsia="Times New Roman"/>
          <w:b/>
          <w:bCs/>
          <w:kern w:val="36"/>
          <w:sz w:val="48"/>
          <w:szCs w:val="48"/>
          <w:shd w:val="clear" w:color="auto" w:fill="D3D3D3"/>
        </w:rPr>
        <w:t>Education</w:t>
      </w:r>
      <w:bookmarkEnd w:id="18"/>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19" w:name="m_-7077294561771739990__Toc500340590"/>
      <w:r w:rsidRPr="00505987">
        <w:rPr>
          <w:rFonts w:ascii="Calibri" w:eastAsia="Times New Roman" w:hAnsi="Calibri"/>
          <w:b/>
          <w:bCs/>
          <w:color w:val="800000"/>
          <w:sz w:val="22"/>
          <w:szCs w:val="22"/>
        </w:rPr>
        <w:t>Young Lives School Surveys 2016–17: The Design and Development of Transferable Skills Tests in India and Vietnam.</w:t>
      </w:r>
      <w:bookmarkEnd w:id="19"/>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lastRenderedPageBreak/>
        <w:t>Padmini</w:t>
      </w:r>
      <w:proofErr w:type="spellEnd"/>
      <w:r w:rsidRPr="00505987">
        <w:rPr>
          <w:rFonts w:eastAsia="Times New Roman"/>
        </w:rPr>
        <w:t xml:space="preserve"> </w:t>
      </w:r>
      <w:proofErr w:type="spellStart"/>
      <w:r w:rsidRPr="00505987">
        <w:rPr>
          <w:rFonts w:eastAsia="Times New Roman"/>
        </w:rPr>
        <w:t>Iyer</w:t>
      </w:r>
      <w:proofErr w:type="spellEnd"/>
      <w:r w:rsidRPr="00505987">
        <w:rPr>
          <w:rFonts w:eastAsia="Times New Roman"/>
        </w:rPr>
        <w:t xml:space="preserve"> and </w:t>
      </w:r>
      <w:proofErr w:type="spellStart"/>
      <w:r w:rsidRPr="00505987">
        <w:rPr>
          <w:rFonts w:eastAsia="Times New Roman"/>
        </w:rPr>
        <w:t>Obiageri</w:t>
      </w:r>
      <w:proofErr w:type="spellEnd"/>
      <w:r w:rsidRPr="00505987">
        <w:rPr>
          <w:rFonts w:eastAsia="Times New Roman"/>
        </w:rPr>
        <w:t xml:space="preserve"> Bridget </w:t>
      </w:r>
      <w:proofErr w:type="spellStart"/>
      <w:r w:rsidRPr="00505987">
        <w:rPr>
          <w:rFonts w:eastAsia="Times New Roman"/>
        </w:rPr>
        <w:t>Azubuike</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Young Lives Technical Note 42,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6" w:tgtFrame="_blank" w:history="1">
        <w:r w:rsidRPr="00505987">
          <w:rPr>
            <w:rFonts w:eastAsia="Times New Roman"/>
            <w:color w:val="0000FF"/>
            <w:u w:val="single"/>
          </w:rPr>
          <w:t>https://younglives-india.org/node/1199</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technical note outlines the design and development of the cognitive test which assessed students' problem-solving an critical-thinking skills in addition to assessing learning progress in </w:t>
      </w:r>
      <w:proofErr w:type="spellStart"/>
      <w:r w:rsidRPr="00505987">
        <w:rPr>
          <w:rFonts w:eastAsia="Times New Roman"/>
        </w:rPr>
        <w:t>maths</w:t>
      </w:r>
      <w:proofErr w:type="spellEnd"/>
      <w:r w:rsidRPr="00505987">
        <w:rPr>
          <w:rFonts w:eastAsia="Times New Roman"/>
        </w:rPr>
        <w:t xml:space="preserve"> and English across the 2016-17 school surveys administered at Wave 2 in India and Vietnam.</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0" w:name="m_-7077294561771739990__Toc500340591"/>
      <w:r w:rsidRPr="00505987">
        <w:rPr>
          <w:rFonts w:ascii="Calibri" w:eastAsia="Times New Roman" w:hAnsi="Calibri"/>
          <w:b/>
          <w:bCs/>
          <w:color w:val="800000"/>
          <w:sz w:val="22"/>
          <w:szCs w:val="22"/>
        </w:rPr>
        <w:t>Youth transition to employment in Vietnam: a vulnerable path.</w:t>
      </w:r>
      <w:bookmarkEnd w:id="20"/>
    </w:p>
    <w:p w:rsidR="00505987" w:rsidRPr="00505987" w:rsidRDefault="00505987" w:rsidP="00505987">
      <w:pPr>
        <w:spacing w:before="100" w:beforeAutospacing="1" w:after="100" w:afterAutospacing="1"/>
        <w:rPr>
          <w:rFonts w:eastAsia="Times New Roman"/>
        </w:rPr>
      </w:pPr>
      <w:proofErr w:type="spellStart"/>
      <w:r w:rsidRPr="00505987">
        <w:rPr>
          <w:rFonts w:eastAsia="Times New Roman"/>
        </w:rPr>
        <w:t>Thi</w:t>
      </w:r>
      <w:proofErr w:type="spellEnd"/>
      <w:r w:rsidRPr="00505987">
        <w:rPr>
          <w:rFonts w:eastAsia="Times New Roman"/>
        </w:rPr>
        <w:t xml:space="preserve"> </w:t>
      </w:r>
      <w:proofErr w:type="spellStart"/>
      <w:r w:rsidRPr="00505987">
        <w:rPr>
          <w:rFonts w:eastAsia="Times New Roman"/>
        </w:rPr>
        <w:t>Tuyet</w:t>
      </w:r>
      <w:proofErr w:type="spellEnd"/>
      <w:r w:rsidRPr="00505987">
        <w:rPr>
          <w:rFonts w:eastAsia="Times New Roman"/>
        </w:rPr>
        <w:t xml:space="preserve"> Tran. Journal of Education and Work, 2017, pp. 1-13.</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Literature suggests that educational attainment is one of the significant factors affecting youth transition to work. The process of capital accumulation through education is suggested as the key marker of social inclusion and exclusion. This paper compares the educational attainment among youth in Vietnam with their status in employment. It uses the data from the school-to-work transition survey of the International </w:t>
      </w:r>
      <w:proofErr w:type="spellStart"/>
      <w:r w:rsidRPr="00505987">
        <w:rPr>
          <w:rFonts w:eastAsia="Times New Roman"/>
        </w:rPr>
        <w:t>Labour</w:t>
      </w:r>
      <w:proofErr w:type="spellEnd"/>
      <w:r w:rsidRPr="00505987">
        <w:rPr>
          <w:rFonts w:eastAsia="Times New Roman"/>
        </w:rPr>
        <w:t xml:space="preserve"> Office with 2722 youth participants aged 15</w:t>
      </w:r>
      <w:proofErr w:type="gramStart"/>
      <w:r w:rsidRPr="00505987">
        <w:rPr>
          <w:rFonts w:eastAsia="Times New Roman"/>
        </w:rPr>
        <w:t>?29</w:t>
      </w:r>
      <w:proofErr w:type="gramEnd"/>
      <w:r w:rsidRPr="00505987">
        <w:rPr>
          <w:rFonts w:eastAsia="Times New Roman"/>
        </w:rPr>
        <w:t xml:space="preserve"> in different geographical areas in Vietnam. The findings indicate that Vietnamese youth have to face many challenges when negotiating their transition to work, especially when the educational attainment of the majority youth is low. </w:t>
      </w:r>
      <w:proofErr w:type="gramStart"/>
      <w:r w:rsidRPr="00505987">
        <w:rPr>
          <w:rFonts w:eastAsia="Times New Roman"/>
        </w:rPr>
        <w:t>A wide gap between education and learners?</w:t>
      </w:r>
      <w:proofErr w:type="gramEnd"/>
      <w:r w:rsidRPr="00505987">
        <w:rPr>
          <w:rFonts w:eastAsia="Times New Roman"/>
        </w:rPr>
        <w:t xml:space="preserve"> </w:t>
      </w:r>
      <w:proofErr w:type="gramStart"/>
      <w:r w:rsidRPr="00505987">
        <w:rPr>
          <w:rFonts w:eastAsia="Times New Roman"/>
        </w:rPr>
        <w:t>needs</w:t>
      </w:r>
      <w:proofErr w:type="gramEnd"/>
      <w:r w:rsidRPr="00505987">
        <w:rPr>
          <w:rFonts w:eastAsia="Times New Roman"/>
        </w:rPr>
        <w:t xml:space="preserve"> and interests, the economic burden many young people had to bear and the low level of development of the economy with a large proportion of the informal sector are the main reasons for youth in Vietnam to leave school early and to accept low quality work to earn their living. These problems need to be solved to help youth in Vietnam approach better jobs in the market.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1" w:name="m_-7077294561771739990__Toc500340592"/>
      <w:r w:rsidRPr="00505987">
        <w:rPr>
          <w:rFonts w:ascii="Calibri" w:eastAsia="Times New Roman" w:hAnsi="Calibri"/>
          <w:b/>
          <w:bCs/>
          <w:color w:val="800000"/>
          <w:sz w:val="22"/>
          <w:szCs w:val="22"/>
        </w:rPr>
        <w:t xml:space="preserve">'How Many Rooms Are There in Your House?' </w:t>
      </w:r>
      <w:proofErr w:type="gramStart"/>
      <w:r w:rsidRPr="00505987">
        <w:rPr>
          <w:rFonts w:ascii="Calibri" w:eastAsia="Times New Roman" w:hAnsi="Calibri"/>
          <w:b/>
          <w:bCs/>
          <w:color w:val="800000"/>
          <w:sz w:val="22"/>
          <w:szCs w:val="22"/>
        </w:rPr>
        <w:t>Constructing the Young Lives Wealth Index.</w:t>
      </w:r>
      <w:bookmarkEnd w:id="21"/>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Young Lives. </w:t>
      </w:r>
      <w:proofErr w:type="gramStart"/>
      <w:r w:rsidRPr="00505987">
        <w:rPr>
          <w:rFonts w:eastAsia="Times New Roman"/>
        </w:rPr>
        <w:t>Technical Note 43,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7" w:tgtFrame="_blank" w:history="1">
        <w:r w:rsidRPr="00505987">
          <w:rPr>
            <w:rFonts w:eastAsia="Times New Roman"/>
            <w:color w:val="0000FF"/>
            <w:u w:val="single"/>
          </w:rPr>
          <w:t>https://www.younglives.org.uk/content/how-many-rooms-are-there-your-house-constructing-young-lives-wealth-index</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The Young Lives wealth index is intended to be the primary measure of socio-economic status of households within the Young Lives sample. This technical note outlines the construction of the wealth index. The construction draws on work undertaken by the World Bank </w:t>
      </w:r>
      <w:r w:rsidRPr="00505987">
        <w:rPr>
          <w:rFonts w:eastAsia="Times New Roman"/>
        </w:rPr>
        <w:lastRenderedPageBreak/>
        <w:t>and Macro International used to develop the wealth index cited in the UNICEF Multiple Indicator Cluster Surveys (MICS). The wealth index positions Young Lives households on a continuous scale of wealth, with higher values reflecting higher household wealth. It was introduced in the Young Lives Round 1 (2002) country reports to determine household poverty status.  --- The Young Lives wealth index has allowed researchers to investigate the impact of material well-being on child health and education outcomes, among others. It has also been used to investigate the representativeness of the Young Lives sample in each of the four survey countries. A comparison of wealth indices between the Young Lives sample and nationally representative data reveals that Young Lives households are slightly wealthier than average households in Ethiopia, Andhra Pradesh in India, and Peru, while Young Lives households are slightly poorer than average households in Vietnam.</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2" w:name="m_-7077294561771739990__Toc500340593"/>
      <w:proofErr w:type="gramStart"/>
      <w:r w:rsidRPr="00505987">
        <w:rPr>
          <w:rFonts w:ascii="Calibri" w:eastAsia="Times New Roman" w:hAnsi="Calibri"/>
          <w:b/>
          <w:bCs/>
          <w:color w:val="800000"/>
          <w:sz w:val="22"/>
          <w:szCs w:val="22"/>
        </w:rPr>
        <w:t>Developing employability skills via extra-curricular activities in Vietnamese universities: student engagement and inhibitors of their engagement.</w:t>
      </w:r>
      <w:bookmarkEnd w:id="22"/>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Tran Le </w:t>
      </w:r>
      <w:proofErr w:type="spellStart"/>
      <w:r w:rsidRPr="00505987">
        <w:rPr>
          <w:rFonts w:eastAsia="Times New Roman"/>
        </w:rPr>
        <w:t>Huu</w:t>
      </w:r>
      <w:proofErr w:type="spellEnd"/>
      <w:r w:rsidRPr="00505987">
        <w:rPr>
          <w:rFonts w:eastAsia="Times New Roman"/>
        </w:rPr>
        <w:t xml:space="preserve"> </w:t>
      </w:r>
      <w:proofErr w:type="spellStart"/>
      <w:r w:rsidRPr="00505987">
        <w:rPr>
          <w:rFonts w:eastAsia="Times New Roman"/>
        </w:rPr>
        <w:t>Nghia</w:t>
      </w:r>
      <w:proofErr w:type="spellEnd"/>
      <w:r w:rsidRPr="00505987">
        <w:rPr>
          <w:rFonts w:eastAsia="Times New Roman"/>
        </w:rPr>
        <w:t>.</w:t>
      </w:r>
      <w:proofErr w:type="gramEnd"/>
      <w:r w:rsidRPr="00505987">
        <w:rPr>
          <w:rFonts w:eastAsia="Times New Roman"/>
        </w:rPr>
        <w:t xml:space="preserve"> Journal of Education &amp; Work, 2017, volume 30, number 8.</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article reports a study that investigated student engagement and inhibitors of their engagement with developing employability skills via extra-curricular activities in Vietnamese universities. Content analysis of 18 interviews with students and statistical analysis of 423 students' responses to a paper-based survey showed that despite a variety of extra-curricular activities being frequently </w:t>
      </w:r>
      <w:proofErr w:type="spellStart"/>
      <w:r w:rsidRPr="00505987">
        <w:rPr>
          <w:rFonts w:eastAsia="Times New Roman"/>
        </w:rPr>
        <w:t>organised</w:t>
      </w:r>
      <w:proofErr w:type="spellEnd"/>
      <w:r w:rsidRPr="00505987">
        <w:rPr>
          <w:rFonts w:eastAsia="Times New Roman"/>
        </w:rPr>
        <w:t xml:space="preserve">, students engaged in these activities just above a moderate level. The analysis revealed that students with different motivations as well as students from different university types, disciplines, and university years engaged differently with developing employability skills via this channel. Five inhibitors of their engagement were identified, including students' working part-time, a lack of information about extra-curricular activities, students' beliefs about participating bringing no benefits, competition with curriculum-based activities, and unprofessional </w:t>
      </w:r>
      <w:proofErr w:type="spellStart"/>
      <w:r w:rsidRPr="00505987">
        <w:rPr>
          <w:rFonts w:eastAsia="Times New Roman"/>
        </w:rPr>
        <w:t>organisation</w:t>
      </w:r>
      <w:proofErr w:type="spellEnd"/>
      <w:r w:rsidRPr="00505987">
        <w:rPr>
          <w:rFonts w:eastAsia="Times New Roman"/>
        </w:rPr>
        <w:t xml:space="preserve"> of these activities. The article discusses ways to improve student engagement with developing employability skills via extra-curricular activities.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3" w:name="m_-7077294561771739990__Toc500340594"/>
      <w:r w:rsidRPr="00505987">
        <w:rPr>
          <w:rFonts w:ascii="Calibri" w:eastAsia="Times New Roman" w:hAnsi="Calibri"/>
          <w:b/>
          <w:bCs/>
          <w:color w:val="800000"/>
          <w:sz w:val="22"/>
          <w:szCs w:val="22"/>
        </w:rPr>
        <w:t>Demographic factors as determinants of social scientists’ productivity: SDC-based Scopus data, 2008-2017.</w:t>
      </w:r>
      <w:bookmarkEnd w:id="23"/>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Thu-Trang </w:t>
      </w:r>
      <w:proofErr w:type="spellStart"/>
      <w:r w:rsidRPr="00505987">
        <w:rPr>
          <w:rFonts w:eastAsia="Times New Roman"/>
        </w:rPr>
        <w:t>Vuong</w:t>
      </w:r>
      <w:proofErr w:type="spellEnd"/>
      <w:r w:rsidRPr="00505987">
        <w:rPr>
          <w:rFonts w:eastAsia="Times New Roman"/>
        </w:rPr>
        <w:t xml:space="preserve">, Hong Kong T. Nguyen, Tung </w:t>
      </w:r>
      <w:proofErr w:type="spellStart"/>
      <w:r w:rsidRPr="00505987">
        <w:rPr>
          <w:rFonts w:eastAsia="Times New Roman"/>
        </w:rPr>
        <w:t>Manh</w:t>
      </w:r>
      <w:proofErr w:type="spellEnd"/>
      <w:r w:rsidRPr="00505987">
        <w:rPr>
          <w:rFonts w:eastAsia="Times New Roman"/>
        </w:rPr>
        <w:t xml:space="preserve"> Ho and </w:t>
      </w:r>
      <w:proofErr w:type="spellStart"/>
      <w:r w:rsidRPr="00505987">
        <w:rPr>
          <w:rFonts w:eastAsia="Times New Roman"/>
        </w:rPr>
        <w:t>Quan</w:t>
      </w:r>
      <w:proofErr w:type="spellEnd"/>
      <w:r w:rsidRPr="00505987">
        <w:rPr>
          <w:rFonts w:eastAsia="Times New Roman"/>
        </w:rPr>
        <w:t xml:space="preserve">-Hoang </w:t>
      </w:r>
      <w:proofErr w:type="spellStart"/>
      <w:r w:rsidRPr="00505987">
        <w:rPr>
          <w:rFonts w:eastAsia="Times New Roman"/>
        </w:rPr>
        <w:t>Vuong</w:t>
      </w:r>
      <w:proofErr w:type="spellEnd"/>
      <w:r w:rsidRPr="00505987">
        <w:rPr>
          <w:rFonts w:eastAsia="Times New Roman"/>
        </w:rPr>
        <w:t>.</w:t>
      </w:r>
      <w:proofErr w:type="gramEnd"/>
      <w:r w:rsidRPr="00505987">
        <w:rPr>
          <w:rFonts w:eastAsia="Times New Roman"/>
        </w:rPr>
        <w:t xml:space="preserve"> </w:t>
      </w:r>
      <w:proofErr w:type="spellStart"/>
      <w:r w:rsidRPr="00505987">
        <w:rPr>
          <w:rFonts w:eastAsia="Times New Roman"/>
        </w:rPr>
        <w:t>Université</w:t>
      </w:r>
      <w:proofErr w:type="spellEnd"/>
      <w:r w:rsidRPr="00505987">
        <w:rPr>
          <w:rFonts w:eastAsia="Times New Roman"/>
        </w:rPr>
        <w:t xml:space="preserve"> </w:t>
      </w:r>
      <w:proofErr w:type="spellStart"/>
      <w:r w:rsidRPr="00505987">
        <w:rPr>
          <w:rFonts w:eastAsia="Times New Roman"/>
        </w:rPr>
        <w:t>Libre</w:t>
      </w:r>
      <w:proofErr w:type="spellEnd"/>
      <w:r w:rsidRPr="00505987">
        <w:rPr>
          <w:rFonts w:eastAsia="Times New Roman"/>
        </w:rPr>
        <w:t xml:space="preserve"> de </w:t>
      </w:r>
      <w:proofErr w:type="spellStart"/>
      <w:r w:rsidRPr="00505987">
        <w:rPr>
          <w:rFonts w:eastAsia="Times New Roman"/>
        </w:rPr>
        <w:t>Bruxelles</w:t>
      </w:r>
      <w:proofErr w:type="spellEnd"/>
      <w:r w:rsidRPr="00505987">
        <w:rPr>
          <w:rFonts w:eastAsia="Times New Roman"/>
        </w:rPr>
        <w:t xml:space="preserve"> - Solvay Brussels School of Economics and Management - Centre Emile </w:t>
      </w:r>
      <w:proofErr w:type="spellStart"/>
      <w:r w:rsidRPr="00505987">
        <w:rPr>
          <w:rFonts w:eastAsia="Times New Roman"/>
        </w:rPr>
        <w:t>Bernheim</w:t>
      </w:r>
      <w:proofErr w:type="spellEnd"/>
      <w:r w:rsidRPr="00505987">
        <w:rPr>
          <w:rFonts w:eastAsia="Times New Roman"/>
        </w:rPr>
        <w:t xml:space="preserve"> CEB Working Paper N° 17/030, 2017.</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As collaboration became widespread in academia and educational systems, and the number of authors per article increased, the count of publication is no longer an accurate indicator of scientific output in many cases. In order to overcome this limitation, the study defined and computed a relative count of publications  called ‘CP’ (credit-based contribution point), based on the sequence-</w:t>
      </w:r>
      <w:proofErr w:type="spellStart"/>
      <w:r w:rsidRPr="00505987">
        <w:rPr>
          <w:rFonts w:eastAsia="Times New Roman"/>
        </w:rPr>
        <w:t>determinescredit</w:t>
      </w:r>
      <w:proofErr w:type="spellEnd"/>
      <w:r w:rsidRPr="00505987">
        <w:rPr>
          <w:rFonts w:eastAsia="Times New Roman"/>
        </w:rPr>
        <w:t xml:space="preserve"> (SDC) method, as a proxy for the output of authors taking into account their level of contribution of each author. Analyses were done on a sample of 410 Vietnamese social scientists whose publications have been indexed in the Scopus database during 2008-2017. Results showed that the average CP of Vietnamese researchers in the field of social sciences and humanities is very low: more than 88% of authors have CP&lt;5 over a span 10 years. Researchers with higher CP were mostly 40-50 years old; however, even for this sub-group, mean CP only amounted to 3.07. Multiple factors – including knowledge, research skills, critical thinking and comprehensiveness – could boost CP by a ratio of 1:1.06. In addition, there is no evidence of gender differences in average CP values,</w:t>
      </w:r>
      <w:proofErr w:type="gramStart"/>
      <w:r w:rsidRPr="00505987">
        <w:rPr>
          <w:rFonts w:eastAsia="Times New Roman"/>
        </w:rPr>
        <w:t>  however</w:t>
      </w:r>
      <w:proofErr w:type="gramEnd"/>
      <w:r w:rsidRPr="00505987">
        <w:rPr>
          <w:rFonts w:eastAsia="Times New Roman"/>
        </w:rPr>
        <w:t xml:space="preserve"> a regional difference. These findings offer significant insights into the education system in what concerns science and technology, namely policy implications for science funding and management strategies for research funds.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4" w:name="m_-7077294561771739990__Toc500340595"/>
      <w:r w:rsidRPr="00505987">
        <w:rPr>
          <w:rFonts w:ascii="Calibri" w:eastAsia="Times New Roman" w:hAnsi="Calibri"/>
          <w:b/>
          <w:bCs/>
          <w:color w:val="800000"/>
          <w:sz w:val="22"/>
          <w:szCs w:val="22"/>
        </w:rPr>
        <w:t>On the Sustainability of Co-Authoring Behaviors in Vietnamese Social Sciences: A Preliminary Analysis of Network Data.</w:t>
      </w:r>
      <w:bookmarkEnd w:id="24"/>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Tung Ho, Hong Nguyen, Thu-Trang </w:t>
      </w:r>
      <w:proofErr w:type="spellStart"/>
      <w:r w:rsidRPr="00505987">
        <w:rPr>
          <w:rFonts w:eastAsia="Times New Roman"/>
        </w:rPr>
        <w:t>Vuong</w:t>
      </w:r>
      <w:proofErr w:type="spellEnd"/>
      <w:r w:rsidRPr="00505987">
        <w:rPr>
          <w:rFonts w:eastAsia="Times New Roman"/>
        </w:rPr>
        <w:t xml:space="preserve"> and </w:t>
      </w:r>
      <w:proofErr w:type="spellStart"/>
      <w:r w:rsidRPr="00505987">
        <w:rPr>
          <w:rFonts w:eastAsia="Times New Roman"/>
        </w:rPr>
        <w:t>Quan</w:t>
      </w:r>
      <w:proofErr w:type="spellEnd"/>
      <w:r w:rsidRPr="00505987">
        <w:rPr>
          <w:rFonts w:eastAsia="Times New Roman"/>
        </w:rPr>
        <w:t xml:space="preserve">-Hoang </w:t>
      </w:r>
      <w:proofErr w:type="spellStart"/>
      <w:r w:rsidRPr="00505987">
        <w:rPr>
          <w:rFonts w:eastAsia="Times New Roman"/>
        </w:rPr>
        <w:t>Vuong</w:t>
      </w:r>
      <w:proofErr w:type="spellEnd"/>
      <w:r w:rsidRPr="00505987">
        <w:rPr>
          <w:rFonts w:eastAsia="Times New Roman"/>
        </w:rPr>
        <w:t>.</w:t>
      </w:r>
      <w:proofErr w:type="gramEnd"/>
      <w:r w:rsidRPr="00505987">
        <w:rPr>
          <w:rFonts w:eastAsia="Times New Roman"/>
        </w:rPr>
        <w:t xml:space="preserve"> Sustainability, 2017, volume 9, number 11, p. 2142.</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8" w:tgtFrame="_blank" w:history="1">
        <w:r w:rsidRPr="00505987">
          <w:rPr>
            <w:rFonts w:eastAsia="Times New Roman"/>
            <w:color w:val="0000FF"/>
            <w:u w:val="single"/>
          </w:rPr>
          <w:t>http://www.mdpi.com/2071-1050/9/11/2142</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The topic of sustainability has mostly been tied to economic development and environmental protection, yet not much attention has been paid to the need for high problem-solving capacity as this underlines both issues. One of the most straightforward ways to improve problem-solving capacity is to nurture ‘productive and enduring’, i.e., sustainable, scientific communities. The study examines the co-authoring behaviors of 412 Vietnamese social scientists over the 2008–2017 </w:t>
      </w:r>
      <w:proofErr w:type="gramStart"/>
      <w:r w:rsidRPr="00505987">
        <w:rPr>
          <w:rFonts w:eastAsia="Times New Roman"/>
        </w:rPr>
        <w:t>period</w:t>
      </w:r>
      <w:proofErr w:type="gramEnd"/>
      <w:r w:rsidRPr="00505987">
        <w:rPr>
          <w:rFonts w:eastAsia="Times New Roman"/>
        </w:rPr>
        <w:t xml:space="preserve"> via social network analysis to determine if these researchers have formed sustainable scientific communities, using Scopus data. The dataset provides an insightful look into the predominant form of collaboration, i.e., co-authorship, within the Vietnamese social science research communities. Through basic network metrics such as density and clustering coefficient, the study hypothesizes that the socially sustainable research communities are those with low clustering and high density. </w:t>
      </w:r>
      <w:proofErr w:type="gramStart"/>
      <w:r w:rsidRPr="00505987">
        <w:rPr>
          <w:rFonts w:eastAsia="Times New Roman"/>
        </w:rPr>
        <w:t xml:space="preserve">As any scholar's position in a network can be specified by </w:t>
      </w:r>
      <w:r w:rsidRPr="00505987">
        <w:rPr>
          <w:rFonts w:eastAsia="Times New Roman"/>
        </w:rPr>
        <w:lastRenderedPageBreak/>
        <w:t>three quantities: the number of publications, connections, and years in research, the distance metrics from the most productive to the rest are computed and compared.</w:t>
      </w:r>
      <w:proofErr w:type="gramEnd"/>
      <w:r w:rsidRPr="00505987">
        <w:rPr>
          <w:rFonts w:eastAsia="Times New Roman"/>
        </w:rPr>
        <w:t xml:space="preserve"> The study hypothesizes that if the distance is too large; it reflects the socially unsustainable situation in the network. The results indicate that certain level of social unsustainability exists in social sciences groups in Vietnam. Though the results are only indicative, it has opened up a fertile space for future inquiry into this matter.</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25" w:name="m_-7077294561771739990__Toc500340596"/>
      <w:r w:rsidRPr="00505987">
        <w:rPr>
          <w:rFonts w:eastAsia="Times New Roman"/>
          <w:b/>
          <w:bCs/>
          <w:kern w:val="36"/>
          <w:sz w:val="48"/>
          <w:szCs w:val="48"/>
          <w:shd w:val="clear" w:color="auto" w:fill="D3D3D3"/>
        </w:rPr>
        <w:t>Environment</w:t>
      </w:r>
      <w:bookmarkEnd w:id="25"/>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6" w:name="m_-7077294561771739990__Toc500340597"/>
      <w:r w:rsidRPr="00505987">
        <w:rPr>
          <w:rFonts w:ascii="Calibri" w:eastAsia="Times New Roman" w:hAnsi="Calibri"/>
          <w:b/>
          <w:bCs/>
          <w:color w:val="800000"/>
          <w:sz w:val="22"/>
          <w:szCs w:val="22"/>
        </w:rPr>
        <w:t xml:space="preserve">Chapter 5 - A Voluntary Model of Payment for Environmental Services: Lessons </w:t>
      </w:r>
      <w:proofErr w:type="gramStart"/>
      <w:r w:rsidRPr="00505987">
        <w:rPr>
          <w:rFonts w:ascii="Calibri" w:eastAsia="Times New Roman" w:hAnsi="Calibri"/>
          <w:b/>
          <w:bCs/>
          <w:color w:val="800000"/>
          <w:sz w:val="22"/>
          <w:szCs w:val="22"/>
        </w:rPr>
        <w:t>From</w:t>
      </w:r>
      <w:proofErr w:type="gramEnd"/>
      <w:r w:rsidRPr="00505987">
        <w:rPr>
          <w:rFonts w:ascii="Calibri" w:eastAsia="Times New Roman" w:hAnsi="Calibri"/>
          <w:b/>
          <w:bCs/>
          <w:color w:val="800000"/>
          <w:sz w:val="22"/>
          <w:szCs w:val="22"/>
        </w:rPr>
        <w:t xml:space="preserve"> Ba Be District, Bac </w:t>
      </w:r>
      <w:proofErr w:type="spellStart"/>
      <w:r w:rsidRPr="00505987">
        <w:rPr>
          <w:rFonts w:ascii="Calibri" w:eastAsia="Times New Roman" w:hAnsi="Calibri"/>
          <w:b/>
          <w:bCs/>
          <w:color w:val="800000"/>
          <w:sz w:val="22"/>
          <w:szCs w:val="22"/>
        </w:rPr>
        <w:t>Kan</w:t>
      </w:r>
      <w:proofErr w:type="spellEnd"/>
      <w:r w:rsidRPr="00505987">
        <w:rPr>
          <w:rFonts w:ascii="Calibri" w:eastAsia="Times New Roman" w:hAnsi="Calibri"/>
          <w:b/>
          <w:bCs/>
          <w:color w:val="800000"/>
          <w:sz w:val="22"/>
          <w:szCs w:val="22"/>
        </w:rPr>
        <w:t xml:space="preserve"> Province of Vietnam.</w:t>
      </w:r>
      <w:bookmarkEnd w:id="26"/>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T. D. </w:t>
      </w:r>
      <w:proofErr w:type="spellStart"/>
      <w:r w:rsidRPr="00505987">
        <w:rPr>
          <w:rFonts w:eastAsia="Times New Roman"/>
        </w:rPr>
        <w:t>Vien</w:t>
      </w:r>
      <w:proofErr w:type="spellEnd"/>
      <w:r w:rsidRPr="00505987">
        <w:rPr>
          <w:rFonts w:eastAsia="Times New Roman"/>
        </w:rPr>
        <w:t>, C. T. Son, N. T. T. Dung and N. T. Lam. in: Redefining Diversity &amp; Dynamics of Natural Resources Management in Asia, Volume 2, Elsevier, 2017, pp. 63-74.</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study was carried out in 2014 to identify advantages and disadvantages of the voluntary payment for environmental services (PES) model in Ba Be District, Bac </w:t>
      </w:r>
      <w:proofErr w:type="spellStart"/>
      <w:r w:rsidRPr="00505987">
        <w:rPr>
          <w:rFonts w:eastAsia="Times New Roman"/>
        </w:rPr>
        <w:t>Kan</w:t>
      </w:r>
      <w:proofErr w:type="spellEnd"/>
      <w:r w:rsidRPr="00505987">
        <w:rPr>
          <w:rFonts w:eastAsia="Times New Roman"/>
        </w:rPr>
        <w:t xml:space="preserve"> Province of Vietnam. Lessons learned from the model can be used to design future PES programs in Vietnam. Several probabilistic risk assessment tools were employed to collect data in the field. The research results showed that stakeholders involved in the model were identified including environmental services (ES) suppliers, environmental users, and middlemen. An operational mechanism for PES implementation was also built and two trail payments were paid in 2013. However, the model was a failure in 2014, as it identified inappropriate ES users, unsuitable level of payment and payment mechanism, and lack of stakeholders’ ability to further undertake the process. To successfully implement future PES programs, appropriate stakeholders must be identified, a suitable PES payment cost and operational mechanism must be established, and capacity building for stakeholders must be included.</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7" w:name="m_-7077294561771739990__Toc500340598"/>
      <w:proofErr w:type="gramStart"/>
      <w:r w:rsidRPr="00505987">
        <w:rPr>
          <w:rFonts w:ascii="Calibri" w:eastAsia="Times New Roman" w:hAnsi="Calibri"/>
          <w:b/>
          <w:bCs/>
          <w:color w:val="800000"/>
          <w:sz w:val="22"/>
          <w:szCs w:val="22"/>
        </w:rPr>
        <w:t>Chapter 15 - Navigating Complexities and Management Prospects of Natural Resources in Northern Vietnam.</w:t>
      </w:r>
      <w:bookmarkEnd w:id="27"/>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S. Sharma, G. </w:t>
      </w:r>
      <w:proofErr w:type="spellStart"/>
      <w:r w:rsidRPr="00505987">
        <w:rPr>
          <w:rFonts w:eastAsia="Times New Roman"/>
        </w:rPr>
        <w:t>Shivakoti</w:t>
      </w:r>
      <w:proofErr w:type="spellEnd"/>
      <w:r w:rsidRPr="00505987">
        <w:rPr>
          <w:rFonts w:eastAsia="Times New Roman"/>
        </w:rPr>
        <w:t xml:space="preserve">, M. V. Thanh and S. J. </w:t>
      </w:r>
      <w:proofErr w:type="spellStart"/>
      <w:r w:rsidRPr="00505987">
        <w:rPr>
          <w:rFonts w:eastAsia="Times New Roman"/>
        </w:rPr>
        <w:t>Leisz</w:t>
      </w:r>
      <w:proofErr w:type="spell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Redefining Diversity &amp; Dynamics of Natural Resources Management in Asia, Volume 2, Elsevier, 2017, pp. 245-256.</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Abstract: Vietnam is a country with high levels of biodiversity, a large and growing population, and experiencing rapid transformations from a developing country to a mid-level economy. This chapter looks at the complexities of managing natural resources and development in northern Vietnam with specific reference to issues related to climate change and the renovation of Vietnam’s economy over the past 30 years. The chapter draws from the other chapters in this volume to discuss the challenges related to forestland allocation policies, governance of natural resources, intricacies of payment for environmental services, and ends by discussing some of the issues regarding the analysis of these situations in the complex socioecological systems that are found in the lowlands, midlands, and uplands of northern Vietnam. Recommendations based on the findings of the chapters in this volume are made with specific focus on improving the management of the natural resources base.</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8" w:name="m_-7077294561771739990__Toc500340599"/>
      <w:r w:rsidRPr="00505987">
        <w:rPr>
          <w:rFonts w:ascii="Calibri" w:eastAsia="Times New Roman" w:hAnsi="Calibri"/>
          <w:b/>
          <w:bCs/>
          <w:color w:val="800000"/>
          <w:sz w:val="22"/>
          <w:szCs w:val="22"/>
        </w:rPr>
        <w:t>Product-Related Environmental Regulation, Innovation, and Competitiveness: Empirical Evidence from Malaysian and Vietnamese Firms.</w:t>
      </w:r>
      <w:bookmarkEnd w:id="28"/>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Qizhong</w:t>
      </w:r>
      <w:proofErr w:type="spellEnd"/>
      <w:r w:rsidRPr="00505987">
        <w:rPr>
          <w:rFonts w:eastAsia="Times New Roman"/>
        </w:rPr>
        <w:t xml:space="preserve"> YANG and Tsunehiro OTSUKI.</w:t>
      </w:r>
      <w:proofErr w:type="gramEnd"/>
      <w:r w:rsidRPr="00505987">
        <w:rPr>
          <w:rFonts w:eastAsia="Times New Roman"/>
        </w:rPr>
        <w:t xml:space="preserve"> OSIPP Discussion Paper: DP-2017-E-007,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19" w:tgtFrame="_blank" w:history="1">
        <w:r w:rsidRPr="00505987">
          <w:rPr>
            <w:rFonts w:eastAsia="Times New Roman"/>
            <w:color w:val="0000FF"/>
            <w:u w:val="single"/>
          </w:rPr>
          <w:t>http://www.osipp.osaka-u.ac.jp/archives/DP/2017/DP2017E007.pdf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study examined the impact of two PRERs released by the EU—RoHS and REACH—on Malaysian and Vietnamese firms’ compliance. The analysis considers productivity as a realization of innovations and examines the R&amp;D enhancement effect of PRERs. The effect of PRERs on productivity is also broken down into direct and indirect effects through R&amp;D enhancement. The result shows that the response to REACH can create incentives to advance R&amp;D, and productivity can increase through both direct and indirect channels. No relationship between the response to RoHS and R&amp;D expenditure is found. Further analysis shows that firms comply with RoHS and REACH in different ways, but just the ability to continue exporting to the EU motivates compliance.</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29" w:name="m_-7077294561771739990__Toc500340600"/>
      <w:r w:rsidRPr="00505987">
        <w:rPr>
          <w:rFonts w:ascii="Calibri" w:eastAsia="Times New Roman" w:hAnsi="Calibri"/>
          <w:b/>
          <w:bCs/>
          <w:color w:val="800000"/>
          <w:sz w:val="22"/>
          <w:szCs w:val="22"/>
        </w:rPr>
        <w:t>Factors influencing the management effectiveness of the biosphere reserve model: The case of Vietnam [PhD Thesis].</w:t>
      </w:r>
      <w:bookmarkEnd w:id="29"/>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Van </w:t>
      </w:r>
      <w:proofErr w:type="spellStart"/>
      <w:r w:rsidRPr="00505987">
        <w:rPr>
          <w:rFonts w:eastAsia="Times New Roman"/>
        </w:rPr>
        <w:t>Cuong</w:t>
      </w:r>
      <w:proofErr w:type="spellEnd"/>
      <w:r w:rsidRPr="00505987">
        <w:rPr>
          <w:rFonts w:eastAsia="Times New Roman"/>
        </w:rPr>
        <w:t xml:space="preserve"> Chu. </w:t>
      </w:r>
      <w:proofErr w:type="gramStart"/>
      <w:r w:rsidRPr="00505987">
        <w:rPr>
          <w:rFonts w:eastAsia="Times New Roman"/>
        </w:rPr>
        <w:t>The University of Queensland-School of Earth and Environmental Sciences,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0" w:tgtFrame="_blank" w:history="1">
        <w:r w:rsidRPr="00505987">
          <w:rPr>
            <w:rFonts w:eastAsia="Times New Roman"/>
            <w:color w:val="0000FF"/>
            <w:u w:val="single"/>
          </w:rPr>
          <w:t>https://espace.library.uq.edu.au/view/UQ:689787</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Biosphere Reserves (BR) were set up in the 1970s by UNESCO under the Man and Biosphere Program (MAB) to fulfil three vital functions: Biodiversity conservation, sustainable development and logistical support. The BR concept evolved, as outlined by the Seville Strategy and Statutory Framework in 1995, which established a set of criteria and guidelines for effective planning and managing of the global network. Rapid expansion of the World Network of Biosphere Reserves (WNBR) was expected to provide an excellent opportunity for conservation coupled to sustainable development. However, while BRs are an international initiative, country members are given the right to nominate and implement the model. --- This thesis evaluates current management issues and discusses the knowledge and institutional barriers for long-term management outcomes of the BR model in Vietnam. The knowledge gaps and factors contributing to the success or failure of the BR operation and management were investigated from the global to national and site level. Employing the Delphi method of expert opinions, the study identified 90 BRs, including 60 successful and 30 less successful sites in 42 countries across the WNBR. Most successful sites are the post-Seville generation while the majority of unsuccessful BRs are pre-Seville generations that are managed as protected areas (PA) and have not been amended to conform to the characteristics that are meant to define a BR. The study also identified eleven key factors belonging to three main functional groups of designation, participation and delivery. Among the 11 key influencing factors, Awareness and communication, and Landscape planning and zonation (designation with the core, buffer zone and transition area) are preconditions but beyond that Stakeholder participation and collaboration, Governance, Finance and resources, and Management and implementation including Sustainable economic development are sufficient conditions for BR success. Monitoring and evaluation appears to be a less important factor influencing the BR success but it is an important component for adaptive learning and management within the WNBR. Factors identified as influencing management of the global network of BRs were used as a set of “core issues” for comparison with the way BRs are operated and managed at the national and site level in Vietnam.</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0" w:name="m_-7077294561771739990__Toc500340601"/>
      <w:proofErr w:type="gramStart"/>
      <w:r w:rsidRPr="00505987">
        <w:rPr>
          <w:rFonts w:ascii="Calibri" w:eastAsia="Times New Roman" w:hAnsi="Calibri"/>
          <w:b/>
          <w:bCs/>
          <w:color w:val="800000"/>
          <w:sz w:val="22"/>
          <w:szCs w:val="22"/>
        </w:rPr>
        <w:t>Chapter 3 - Assessing and Calculating a Climate Change Vulnerability Index for Agriculture Production in the Red River Delta, Vietnam.</w:t>
      </w:r>
      <w:bookmarkEnd w:id="30"/>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H. H. Duong, T. </w:t>
      </w:r>
      <w:proofErr w:type="spellStart"/>
      <w:r w:rsidRPr="00505987">
        <w:rPr>
          <w:rFonts w:eastAsia="Times New Roman"/>
        </w:rPr>
        <w:t>Thuc</w:t>
      </w:r>
      <w:proofErr w:type="spellEnd"/>
      <w:r w:rsidRPr="00505987">
        <w:rPr>
          <w:rFonts w:eastAsia="Times New Roman"/>
        </w:rPr>
        <w:t xml:space="preserve"> and L. </w:t>
      </w:r>
      <w:proofErr w:type="spellStart"/>
      <w:r w:rsidRPr="00505987">
        <w:rPr>
          <w:rFonts w:eastAsia="Times New Roman"/>
        </w:rPr>
        <w:t>Ribbe</w:t>
      </w:r>
      <w:proofErr w:type="spellEnd"/>
      <w:r w:rsidRPr="00505987">
        <w:rPr>
          <w:rFonts w:eastAsia="Times New Roman"/>
        </w:rPr>
        <w:t>.</w:t>
      </w:r>
      <w:proofErr w:type="gram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Redefining Diversity &amp; Dynamics of Natural Resources Management in Asia, Volume 2, Elsevier, 2017, pp. 27-40.</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Agriculture production is one of the most vulnerable sectors to climate change in Vietnam. Therefore, assessing levels of climate change vulnerabilities on agriculture production </w:t>
      </w:r>
      <w:r w:rsidRPr="00505987">
        <w:rPr>
          <w:rFonts w:eastAsia="Times New Roman"/>
        </w:rPr>
        <w:lastRenderedPageBreak/>
        <w:t>is extremely necessary. Vulnerability assessment using an index method has been broadly applied throughout the world. However, this method is a preliminary step and is complicated for application in Vietnam. This chapter presents the result of constructing an easy framework and a tool for assessing and calculating a climate change vulnerability index with unequal weight. The result of the assessment identifies which community/province is most vulnerable to climate change. This in-turn supports decision makers in proposing mitigation measures in the future.</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1" w:name="m_-7077294561771739990__Toc500340602"/>
      <w:r w:rsidRPr="00505987">
        <w:rPr>
          <w:rFonts w:ascii="Calibri" w:eastAsia="Times New Roman" w:hAnsi="Calibri"/>
          <w:b/>
          <w:bCs/>
          <w:color w:val="800000"/>
          <w:sz w:val="22"/>
          <w:szCs w:val="22"/>
        </w:rPr>
        <w:t xml:space="preserve">10 - Co-management model on urban riverbank erosion management in Can </w:t>
      </w:r>
      <w:proofErr w:type="spellStart"/>
      <w:r w:rsidRPr="00505987">
        <w:rPr>
          <w:rFonts w:ascii="Calibri" w:eastAsia="Times New Roman" w:hAnsi="Calibri"/>
          <w:b/>
          <w:bCs/>
          <w:color w:val="800000"/>
          <w:sz w:val="22"/>
          <w:szCs w:val="22"/>
        </w:rPr>
        <w:t>Tho</w:t>
      </w:r>
      <w:proofErr w:type="spellEnd"/>
      <w:r w:rsidRPr="00505987">
        <w:rPr>
          <w:rFonts w:ascii="Calibri" w:eastAsia="Times New Roman" w:hAnsi="Calibri"/>
          <w:b/>
          <w:bCs/>
          <w:color w:val="800000"/>
          <w:sz w:val="22"/>
          <w:szCs w:val="22"/>
        </w:rPr>
        <w:t xml:space="preserve"> city, Vietnam A2 - Shaw, </w:t>
      </w:r>
      <w:proofErr w:type="spellStart"/>
      <w:r w:rsidRPr="00505987">
        <w:rPr>
          <w:rFonts w:ascii="Calibri" w:eastAsia="Times New Roman" w:hAnsi="Calibri"/>
          <w:b/>
          <w:bCs/>
          <w:color w:val="800000"/>
          <w:sz w:val="22"/>
          <w:szCs w:val="22"/>
        </w:rPr>
        <w:t>Rajib</w:t>
      </w:r>
      <w:proofErr w:type="spellEnd"/>
      <w:r w:rsidRPr="00505987">
        <w:rPr>
          <w:rFonts w:ascii="Calibri" w:eastAsia="Times New Roman" w:hAnsi="Calibri"/>
          <w:b/>
          <w:bCs/>
          <w:color w:val="800000"/>
          <w:sz w:val="22"/>
          <w:szCs w:val="22"/>
        </w:rPr>
        <w:t>.</w:t>
      </w:r>
      <w:bookmarkEnd w:id="31"/>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Huy</w:t>
      </w:r>
      <w:proofErr w:type="spellEnd"/>
      <w:r w:rsidRPr="00505987">
        <w:rPr>
          <w:rFonts w:eastAsia="Times New Roman"/>
        </w:rPr>
        <w:t xml:space="preserve"> Nguyen, Stephen Tyler and </w:t>
      </w:r>
      <w:proofErr w:type="spellStart"/>
      <w:r w:rsidRPr="00505987">
        <w:rPr>
          <w:rFonts w:eastAsia="Times New Roman"/>
        </w:rPr>
        <w:t>Thi</w:t>
      </w:r>
      <w:proofErr w:type="spellEnd"/>
      <w:r w:rsidRPr="00505987">
        <w:rPr>
          <w:rFonts w:eastAsia="Times New Roman"/>
        </w:rPr>
        <w:t xml:space="preserve"> My </w:t>
      </w:r>
      <w:proofErr w:type="spellStart"/>
      <w:r w:rsidRPr="00505987">
        <w:rPr>
          <w:rFonts w:eastAsia="Times New Roman"/>
        </w:rPr>
        <w:t>Thi</w:t>
      </w:r>
      <w:proofErr w:type="spellEnd"/>
      <w:r w:rsidRPr="00505987">
        <w:rPr>
          <w:rFonts w:eastAsia="Times New Roman"/>
        </w:rPr>
        <w:t xml:space="preserve"> Tong.</w:t>
      </w:r>
      <w:proofErr w:type="gram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Science and Technology in Disaster Risk Reduction in Asia, Academic Press, 2018, pp. 161-173.</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Urban climate adaptation measures are frequently understood to require large-scale infrastructure investments. But these may not be feasible in low-income developing countries, where urban populations are growing most rapidly. Yet poor urban populations, especially in rapidly expanding </w:t>
      </w:r>
      <w:proofErr w:type="spellStart"/>
      <w:r w:rsidRPr="00505987">
        <w:rPr>
          <w:rFonts w:eastAsia="Times New Roman"/>
        </w:rPr>
        <w:t>peri</w:t>
      </w:r>
      <w:proofErr w:type="spellEnd"/>
      <w:r w:rsidRPr="00505987">
        <w:rPr>
          <w:rFonts w:eastAsia="Times New Roman"/>
        </w:rPr>
        <w:t xml:space="preserve">-urban areas, may be most vulnerable to climate hazards such as flooding, sea level rise, and extreme storms because their population density is increasing more rapidly than infrastructure investment. This chapter describes an experimental approach to riverbank erosion control in Can </w:t>
      </w:r>
      <w:proofErr w:type="spellStart"/>
      <w:r w:rsidRPr="00505987">
        <w:rPr>
          <w:rFonts w:eastAsia="Times New Roman"/>
        </w:rPr>
        <w:t>Tho</w:t>
      </w:r>
      <w:proofErr w:type="spellEnd"/>
      <w:r w:rsidRPr="00505987">
        <w:rPr>
          <w:rFonts w:eastAsia="Times New Roman"/>
        </w:rPr>
        <w:t>, Vietnam, that involves an alternative mechanism for funding, building, and maintaining infrastructure for riverbank stabilization and erosion control. Our chapter explains the successes in this case and describes key lessons for replication in other cities.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2" w:name="m_-7077294561771739990__Toc500340603"/>
      <w:r w:rsidRPr="00505987">
        <w:rPr>
          <w:rFonts w:ascii="Calibri" w:eastAsia="Times New Roman" w:hAnsi="Calibri"/>
          <w:b/>
          <w:bCs/>
          <w:color w:val="800000"/>
          <w:sz w:val="22"/>
          <w:szCs w:val="22"/>
        </w:rPr>
        <w:t>Design and implementation of site-specific rainfall-induced landslide early warning and monitoring system: a case study at Nam Dan landslide (Vietnam).</w:t>
      </w:r>
      <w:bookmarkEnd w:id="32"/>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Quoc Anh </w:t>
      </w:r>
      <w:proofErr w:type="spellStart"/>
      <w:r w:rsidRPr="00505987">
        <w:rPr>
          <w:rFonts w:eastAsia="Times New Roman"/>
        </w:rPr>
        <w:t>Gian</w:t>
      </w:r>
      <w:proofErr w:type="spellEnd"/>
      <w:r w:rsidRPr="00505987">
        <w:rPr>
          <w:rFonts w:eastAsia="Times New Roman"/>
        </w:rPr>
        <w:t xml:space="preserve">, </w:t>
      </w:r>
      <w:proofErr w:type="spellStart"/>
      <w:r w:rsidRPr="00505987">
        <w:rPr>
          <w:rFonts w:eastAsia="Times New Roman"/>
        </w:rPr>
        <w:t>Duc</w:t>
      </w:r>
      <w:proofErr w:type="spellEnd"/>
      <w:r w:rsidRPr="00505987">
        <w:rPr>
          <w:rFonts w:eastAsia="Times New Roman"/>
        </w:rPr>
        <w:t xml:space="preserve">-Tan Tran, </w:t>
      </w:r>
      <w:proofErr w:type="spellStart"/>
      <w:r w:rsidRPr="00505987">
        <w:rPr>
          <w:rFonts w:eastAsia="Times New Roman"/>
        </w:rPr>
        <w:t>Dinh</w:t>
      </w:r>
      <w:proofErr w:type="spellEnd"/>
      <w:r w:rsidRPr="00505987">
        <w:rPr>
          <w:rFonts w:eastAsia="Times New Roman"/>
        </w:rPr>
        <w:t xml:space="preserve"> </w:t>
      </w:r>
      <w:proofErr w:type="spellStart"/>
      <w:r w:rsidRPr="00505987">
        <w:rPr>
          <w:rFonts w:eastAsia="Times New Roman"/>
        </w:rPr>
        <w:t>Chinh</w:t>
      </w:r>
      <w:proofErr w:type="spellEnd"/>
      <w:r w:rsidRPr="00505987">
        <w:rPr>
          <w:rFonts w:eastAsia="Times New Roman"/>
        </w:rPr>
        <w:t xml:space="preserve"> Nguyen, Viet Ha </w:t>
      </w:r>
      <w:proofErr w:type="spellStart"/>
      <w:r w:rsidRPr="00505987">
        <w:rPr>
          <w:rFonts w:eastAsia="Times New Roman"/>
        </w:rPr>
        <w:t>Nhu</w:t>
      </w:r>
      <w:proofErr w:type="spellEnd"/>
      <w:r w:rsidRPr="00505987">
        <w:rPr>
          <w:rFonts w:eastAsia="Times New Roman"/>
        </w:rPr>
        <w:t xml:space="preserve"> and </w:t>
      </w:r>
      <w:proofErr w:type="spellStart"/>
      <w:r w:rsidRPr="00505987">
        <w:rPr>
          <w:rFonts w:eastAsia="Times New Roman"/>
        </w:rPr>
        <w:t>Dieu</w:t>
      </w:r>
      <w:proofErr w:type="spellEnd"/>
      <w:r w:rsidRPr="00505987">
        <w:rPr>
          <w:rFonts w:eastAsia="Times New Roman"/>
        </w:rPr>
        <w:t xml:space="preserve"> Tien Bui.</w:t>
      </w:r>
      <w:proofErr w:type="gramEnd"/>
      <w:r w:rsidRPr="00505987">
        <w:rPr>
          <w:rFonts w:eastAsia="Times New Roman"/>
        </w:rPr>
        <w:t xml:space="preserve"> Geomatics, Natural Hazards and Risk, 2017, pp. 1-19.</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1" w:tgtFrame="_blank" w:history="1">
        <w:r w:rsidRPr="00505987">
          <w:rPr>
            <w:rFonts w:eastAsia="Times New Roman"/>
            <w:color w:val="0000FF"/>
            <w:u w:val="single"/>
          </w:rPr>
          <w:t>https://doi.org/10.1080/19475705.2017.1401561</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paper proposes and implements an early warning and monitoring system for rainfall-induced landslide (named as EWMRIL) with a case study at the Nam Dan landslide (northern Vietnam). The proposed system consists of six sensor nodes and one rainfall station that are used to sense large amounts of data in real-time such as soil moisture, pore-water pressure (PWP), movement status, and rainfall. In addition, a new flexible configuration for the wireless communication system is proposed that is capable not only to save the energy </w:t>
      </w:r>
      <w:r w:rsidRPr="00505987">
        <w:rPr>
          <w:rFonts w:eastAsia="Times New Roman"/>
        </w:rPr>
        <w:lastRenderedPageBreak/>
        <w:t>consuming but also to ensure the reliability of the system. Using wireless communication system, the sensed data were sent to the computer station for analyzing and predicting the instability of the landslide in terms of factor of safety (</w:t>
      </w:r>
      <w:proofErr w:type="spellStart"/>
      <w:r w:rsidRPr="00505987">
        <w:rPr>
          <w:rFonts w:eastAsia="Times New Roman"/>
        </w:rPr>
        <w:t>FoS</w:t>
      </w:r>
      <w:proofErr w:type="spellEnd"/>
      <w:r w:rsidRPr="00505987">
        <w:rPr>
          <w:rFonts w:eastAsia="Times New Roman"/>
        </w:rPr>
        <w:t>) using the finite element seepage analysis and the limit equilibrium slope stability analysis methods. These methods are available in the SEEP/W and SLOPE/W modules of the GeoStudio software. Based on the analyzing results, the system proposed three warning levels for the landslide Early, Intermediate, and Imminent. Experiment result in the rainy season from August to September 2016 has proven the validity of the EWMRIL system. The result of this study is useful for landslide risk prevention and management in landslide prone-areas.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3" w:name="m_-7077294561771739990__Toc500340604"/>
      <w:proofErr w:type="gramStart"/>
      <w:r w:rsidRPr="00505987">
        <w:rPr>
          <w:rFonts w:ascii="Calibri" w:eastAsia="Times New Roman" w:hAnsi="Calibri"/>
          <w:b/>
          <w:bCs/>
          <w:color w:val="800000"/>
          <w:sz w:val="22"/>
          <w:szCs w:val="22"/>
        </w:rPr>
        <w:t>RCP8.5-Based Future Flood Hazard Analysis for the Lower Mekong River Basin.</w:t>
      </w:r>
      <w:bookmarkEnd w:id="33"/>
      <w:proofErr w:type="gramEnd"/>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Edangodage</w:t>
      </w:r>
      <w:proofErr w:type="spellEnd"/>
      <w:r w:rsidRPr="00505987">
        <w:rPr>
          <w:rFonts w:eastAsia="Times New Roman"/>
        </w:rPr>
        <w:t xml:space="preserve"> </w:t>
      </w:r>
      <w:proofErr w:type="spellStart"/>
      <w:r w:rsidRPr="00505987">
        <w:rPr>
          <w:rFonts w:eastAsia="Times New Roman"/>
        </w:rPr>
        <w:t>Perera</w:t>
      </w:r>
      <w:proofErr w:type="spellEnd"/>
      <w:r w:rsidRPr="00505987">
        <w:rPr>
          <w:rFonts w:eastAsia="Times New Roman"/>
        </w:rPr>
        <w:t xml:space="preserve">, Takahiro </w:t>
      </w:r>
      <w:proofErr w:type="spellStart"/>
      <w:r w:rsidRPr="00505987">
        <w:rPr>
          <w:rFonts w:eastAsia="Times New Roman"/>
        </w:rPr>
        <w:t>Sayama</w:t>
      </w:r>
      <w:proofErr w:type="spellEnd"/>
      <w:r w:rsidRPr="00505987">
        <w:rPr>
          <w:rFonts w:eastAsia="Times New Roman"/>
        </w:rPr>
        <w:t xml:space="preserve">, Jun </w:t>
      </w:r>
      <w:proofErr w:type="spellStart"/>
      <w:r w:rsidRPr="00505987">
        <w:rPr>
          <w:rFonts w:eastAsia="Times New Roman"/>
        </w:rPr>
        <w:t>Magome</w:t>
      </w:r>
      <w:proofErr w:type="spellEnd"/>
      <w:r w:rsidRPr="00505987">
        <w:rPr>
          <w:rFonts w:eastAsia="Times New Roman"/>
        </w:rPr>
        <w:t xml:space="preserve">, Akira Hasegawa and Yoichi </w:t>
      </w:r>
      <w:proofErr w:type="spellStart"/>
      <w:r w:rsidRPr="00505987">
        <w:rPr>
          <w:rFonts w:eastAsia="Times New Roman"/>
        </w:rPr>
        <w:t>Iwami</w:t>
      </w:r>
      <w:proofErr w:type="spellEnd"/>
      <w:r w:rsidRPr="00505987">
        <w:rPr>
          <w:rFonts w:eastAsia="Times New Roman"/>
        </w:rPr>
        <w:t>.</w:t>
      </w:r>
      <w:proofErr w:type="gramEnd"/>
      <w:r w:rsidRPr="00505987">
        <w:rPr>
          <w:rFonts w:eastAsia="Times New Roman"/>
        </w:rPr>
        <w:t xml:space="preserve"> Hydrology, 2017, volume 4, number 4, p. 55.</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2" w:tgtFrame="_blank" w:history="1">
        <w:r w:rsidRPr="00505987">
          <w:rPr>
            <w:rFonts w:eastAsia="Times New Roman"/>
            <w:color w:val="0000FF"/>
            <w:u w:val="single"/>
          </w:rPr>
          <w:t>http://www.mdpi.com/2306-5338/4/4/55</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Climatic variations caused by the excessive emission of greenhouse gases are likely to change the patterns of precipitation, runoff processes, and water storage of river basins. Various studies have been conducted based on precipitation outputs of the global scale climatic models under different emission scenarios. However, there is a limitation in regional- and local-scale hydrological analysis on extreme floods with the combined application of high-resolution atmospheric general circulation models’ (AGCM) outputs and physically-based hydrological models (PBHM). This study has taken an effort to overcome that limitation in hydrological analysis. The present and future precipitation, river runoff, and inundation distributions for the Lower Mekong Basin (LMB) were analyzed to understand hydrological changes in the LMB under the RCP8.5 scenario. The downstream area beyond the </w:t>
      </w:r>
      <w:proofErr w:type="spellStart"/>
      <w:r w:rsidRPr="00505987">
        <w:rPr>
          <w:rFonts w:eastAsia="Times New Roman"/>
        </w:rPr>
        <w:t>Kratie</w:t>
      </w:r>
      <w:proofErr w:type="spellEnd"/>
      <w:r w:rsidRPr="00505987">
        <w:rPr>
          <w:rFonts w:eastAsia="Times New Roman"/>
        </w:rPr>
        <w:t xml:space="preserve"> gauging station, located in the Cambodia and Vietnam flood plains was considered as the LMB in this study. The bias-corrected precipitation outputs of the Japan Meteorological Research Institute atmospheric general circulation model (MRI-AGCM3.2S) with 20 km horizontal resolution were utilized as the precipitation inputs for basin-scale hydrological simulations. The present climate (1979–2003) was represented by the AMIP-type simulations while the future (2075–2099) climatic conditions were obtained based on the RCP8.5 greenhouse gas scenario. The entire hydrological system of the Mekong basin was modelled by the block-wise TOPMODEL (BTOP) hydrological model with 20 km resolution, while the LMB area was modelled by the rainfall-runoff-inundation (RRI) model with 2 km resolution, specifically to analyze floods under the aforementioned climatic conditions. The comparison of present and future river runoffs, inundation distributions and inundation volume changes were the outcomes of the study, which </w:t>
      </w:r>
      <w:r w:rsidRPr="00505987">
        <w:rPr>
          <w:rFonts w:eastAsia="Times New Roman"/>
        </w:rPr>
        <w:lastRenderedPageBreak/>
        <w:t>can be supportive information for the LMB flood management, water policy, and water resources development.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4" w:name="m_-7077294561771739990__Toc500340605"/>
      <w:r w:rsidRPr="00505987">
        <w:rPr>
          <w:rFonts w:ascii="Calibri" w:eastAsia="Times New Roman" w:hAnsi="Calibri"/>
          <w:b/>
          <w:bCs/>
          <w:color w:val="800000"/>
          <w:sz w:val="22"/>
          <w:szCs w:val="22"/>
        </w:rPr>
        <w:t xml:space="preserve">Greenhouse Gas Emissions, Energy Consumption and Economic Growth: A Panel </w:t>
      </w:r>
      <w:proofErr w:type="spellStart"/>
      <w:r w:rsidRPr="00505987">
        <w:rPr>
          <w:rFonts w:ascii="Calibri" w:eastAsia="Times New Roman" w:hAnsi="Calibri"/>
          <w:b/>
          <w:bCs/>
          <w:color w:val="800000"/>
          <w:sz w:val="22"/>
          <w:szCs w:val="22"/>
        </w:rPr>
        <w:t>Cointegration</w:t>
      </w:r>
      <w:proofErr w:type="spellEnd"/>
      <w:r w:rsidRPr="00505987">
        <w:rPr>
          <w:rFonts w:ascii="Calibri" w:eastAsia="Times New Roman" w:hAnsi="Calibri"/>
          <w:b/>
          <w:bCs/>
          <w:color w:val="800000"/>
          <w:sz w:val="22"/>
          <w:szCs w:val="22"/>
        </w:rPr>
        <w:t xml:space="preserve"> Analysis for 16 Asian Countries.</w:t>
      </w:r>
      <w:bookmarkEnd w:id="34"/>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Wen-Cheng Lu.</w:t>
      </w:r>
      <w:proofErr w:type="gramEnd"/>
      <w:r w:rsidRPr="00505987">
        <w:rPr>
          <w:rFonts w:eastAsia="Times New Roman"/>
        </w:rPr>
        <w:t xml:space="preserve"> International Journal of Environmental Research and Public Health, 2017, volume 14, number 11, p. 1436.</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3" w:tgtFrame="_blank" w:history="1">
        <w:r w:rsidRPr="00505987">
          <w:rPr>
            <w:rFonts w:eastAsia="Times New Roman"/>
            <w:color w:val="0000FF"/>
            <w:u w:val="single"/>
          </w:rPr>
          <w:t>http://www.mdpi.com/1660-4601/14/11/1436</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research investigates the co-movement and causality relationships between greenhouse gas emissions, energy consumption and economic growth for 16 Asian countries over the period 1990–2012. The empirical findings suggest that in the long run, bidirectional Granger causality between energy consumption, GDP and greenhouse gas emissions and between GDP, greenhouse gas emissions and energy consumption is established. A non-linear, quadratic relationship is revealed between greenhouse gas emissions, energy consumption and economic growth, consistent with the environmental Kuznets curve for these 16 Asian countries and a subsample of the Asian new industrial economy. Short-run relationships are regionally specific across the Asian continent. From the viewpoint of energy policy in Asia, various governments support low-carbon or renewable energy use and are reducing fossil fuel combustion to sustain economic growth, but in some countries, evidence suggests that energy conservation might only be marginal.</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5" w:name="m_-7077294561771739990__Toc500340606"/>
      <w:r w:rsidRPr="00505987">
        <w:rPr>
          <w:rFonts w:ascii="Calibri" w:eastAsia="Times New Roman" w:hAnsi="Calibri"/>
          <w:b/>
          <w:bCs/>
          <w:color w:val="800000"/>
          <w:sz w:val="22"/>
          <w:szCs w:val="22"/>
        </w:rPr>
        <w:t>Some results of study on present situation of household solid waste in Hanoi, Vietnam.</w:t>
      </w:r>
      <w:bookmarkEnd w:id="35"/>
    </w:p>
    <w:p w:rsidR="00505987" w:rsidRPr="00505987" w:rsidRDefault="00505987" w:rsidP="00505987">
      <w:pPr>
        <w:spacing w:before="100" w:beforeAutospacing="1" w:after="100" w:afterAutospacing="1"/>
        <w:rPr>
          <w:rFonts w:eastAsia="Times New Roman"/>
        </w:rPr>
      </w:pPr>
      <w:proofErr w:type="spellStart"/>
      <w:proofErr w:type="gramStart"/>
      <w:r w:rsidRPr="00505987">
        <w:rPr>
          <w:rFonts w:eastAsia="Times New Roman"/>
        </w:rPr>
        <w:t>Kosuke</w:t>
      </w:r>
      <w:proofErr w:type="spellEnd"/>
      <w:r w:rsidRPr="00505987">
        <w:rPr>
          <w:rFonts w:eastAsia="Times New Roman"/>
        </w:rPr>
        <w:t xml:space="preserve"> Kawai and </w:t>
      </w:r>
      <w:proofErr w:type="spellStart"/>
      <w:r w:rsidRPr="00505987">
        <w:rPr>
          <w:rFonts w:eastAsia="Times New Roman"/>
        </w:rPr>
        <w:t>Saburo</w:t>
      </w:r>
      <w:proofErr w:type="spellEnd"/>
      <w:r w:rsidRPr="00505987">
        <w:rPr>
          <w:rFonts w:eastAsia="Times New Roman"/>
        </w:rPr>
        <w:t xml:space="preserve"> Matsui.</w:t>
      </w:r>
      <w:proofErr w:type="gramEnd"/>
      <w:r w:rsidRPr="00505987">
        <w:rPr>
          <w:rFonts w:eastAsia="Times New Roman"/>
        </w:rPr>
        <w:t xml:space="preserve"> AJSTD, 2017, volume 25, number 2.</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4" w:tgtFrame="_blank" w:history="1">
        <w:r w:rsidRPr="00505987">
          <w:rPr>
            <w:rFonts w:eastAsia="Times New Roman"/>
            <w:color w:val="0000FF"/>
            <w:u w:val="single"/>
          </w:rPr>
          <w:t>http://www.ajstd.org/~ajstd/index.php/ajstd/article/download/261/255</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paper presents some results on the study of Solid waste generated by households (hereinafter referred to as HSW) in Hanoi city. Compositions of the waste generated from three typical communities and their relationship with family life-style of each community were investigated. Differences among compositions of HSW of three resident groups of different incomes, lifestyles were analyzed. Based on the study results, some measures for better management of HSW and maximum reuse and recycle of HSW were proposed. By this way, the amount of HSW transported to landfill could be reduced and stabilization phase of landfill sites could be shortened.</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36" w:name="m_-7077294561771739990__Toc500340607"/>
      <w:r w:rsidRPr="00505987">
        <w:rPr>
          <w:rFonts w:eastAsia="Times New Roman"/>
          <w:b/>
          <w:bCs/>
          <w:kern w:val="36"/>
          <w:sz w:val="48"/>
          <w:szCs w:val="48"/>
          <w:shd w:val="clear" w:color="auto" w:fill="D3D3D3"/>
        </w:rPr>
        <w:t>Governance</w:t>
      </w:r>
      <w:bookmarkEnd w:id="36"/>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7" w:name="m_-7077294561771739990__Toc500340608"/>
      <w:r w:rsidRPr="00505987">
        <w:rPr>
          <w:rFonts w:ascii="Calibri" w:eastAsia="Times New Roman" w:hAnsi="Calibri"/>
          <w:b/>
          <w:bCs/>
          <w:color w:val="800000"/>
          <w:sz w:val="22"/>
          <w:szCs w:val="22"/>
        </w:rPr>
        <w:t>14 - Corruption in Vietnam: The current situation and proposed solutions.</w:t>
      </w:r>
      <w:bookmarkEnd w:id="37"/>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Ngo T. Phuong. </w:t>
      </w:r>
      <w:proofErr w:type="gramStart"/>
      <w:r w:rsidRPr="00505987">
        <w:rPr>
          <w:rFonts w:eastAsia="Times New Roman"/>
        </w:rPr>
        <w:t>in</w:t>
      </w:r>
      <w:proofErr w:type="gramEnd"/>
      <w:r w:rsidRPr="00505987">
        <w:rPr>
          <w:rFonts w:eastAsia="Times New Roman"/>
        </w:rPr>
        <w:t>: The Changing Face of Corruption in the Asia Pacific, Elsevier, 2017, pp. 221-231.</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chapter introduces an overview of corruption in Vietnam. Although the country’s GDP has maintained a steady growth of around 5%–7% per year during 2011–15, corruption is widespread throughout Vietnam and remains a substantial issue. The chapter starts by defining corruption according to Vietnamese law and regulations. It then explains the three major characteristics of corruption as perceived in this country. The third section of the chapter lists the 12 acts of corruption and the current state of corruption in Vietnam. The chapter ends with recommendations and solutions to prevent corruption in Vietnam. The critical roles played by ethical government officials, managers, and employees to prevent and punish corruption and bribery, along with effective legislation, will create and contribute toward sustainable economic development in the country.</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8" w:name="m_-7077294561771739990__Toc500340609"/>
      <w:r w:rsidRPr="00505987">
        <w:rPr>
          <w:rFonts w:ascii="Calibri" w:eastAsia="Times New Roman" w:hAnsi="Calibri"/>
          <w:b/>
          <w:bCs/>
          <w:color w:val="800000"/>
          <w:sz w:val="22"/>
          <w:szCs w:val="22"/>
        </w:rPr>
        <w:t xml:space="preserve">Bribery and Its Implications on Entrepreneurship in the Informal Economy: Evidence </w:t>
      </w:r>
      <w:proofErr w:type="gramStart"/>
      <w:r w:rsidRPr="00505987">
        <w:rPr>
          <w:rFonts w:ascii="Calibri" w:eastAsia="Times New Roman" w:hAnsi="Calibri"/>
          <w:b/>
          <w:bCs/>
          <w:color w:val="800000"/>
          <w:sz w:val="22"/>
          <w:szCs w:val="22"/>
        </w:rPr>
        <w:t>From</w:t>
      </w:r>
      <w:proofErr w:type="gramEnd"/>
      <w:r w:rsidRPr="00505987">
        <w:rPr>
          <w:rFonts w:ascii="Calibri" w:eastAsia="Times New Roman" w:hAnsi="Calibri"/>
          <w:b/>
          <w:bCs/>
          <w:color w:val="800000"/>
          <w:sz w:val="22"/>
          <w:szCs w:val="22"/>
        </w:rPr>
        <w:t xml:space="preserve"> Vietnam.</w:t>
      </w:r>
      <w:bookmarkEnd w:id="38"/>
    </w:p>
    <w:p w:rsidR="00505987" w:rsidRPr="00505987" w:rsidRDefault="00505987" w:rsidP="00505987">
      <w:pPr>
        <w:spacing w:before="100" w:beforeAutospacing="1" w:after="100" w:afterAutospacing="1"/>
        <w:rPr>
          <w:rFonts w:eastAsia="Times New Roman"/>
        </w:rPr>
      </w:pPr>
      <w:r w:rsidRPr="00505987">
        <w:rPr>
          <w:rFonts w:eastAsia="Times New Roman"/>
        </w:rPr>
        <w:t>Phan Anh Tu. in: Examining the Private Sector's Role in Wealth Creation and Poverty Reduction, 2018.</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chapter argues that while informal entrepreneurship is important in transition economies (for economic growth, job generation, and welfare improvement), it opens informal entrepreneurs to bribery requests because of their non-official status. With empirical evidence from Vietnam, this chapter demonstrates that the likelihood of bribery is determined by a firm's attributes. Building on a unique dataset of 352 entrepreneurs in informal firms in Vietnam, this chapter is able to quantify bribery at the firm level and measure key concepts. The empirical </w:t>
      </w:r>
      <w:r w:rsidRPr="00505987">
        <w:rPr>
          <w:rFonts w:eastAsia="Times New Roman"/>
        </w:rPr>
        <w:lastRenderedPageBreak/>
        <w:t>findings confirm the key assumption that entrepreneurs operating in the informal sector of the same country may vary in their propensity to pay bribes due to pressure resulting from (a) factors that are specific to the firms, or (b) factors specific to their perceptions of the environment.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39" w:name="m_-7077294561771739990__Toc500340610"/>
      <w:proofErr w:type="gramStart"/>
      <w:r w:rsidRPr="00505987">
        <w:rPr>
          <w:rFonts w:ascii="Calibri" w:eastAsia="Times New Roman" w:hAnsi="Calibri"/>
          <w:b/>
          <w:bCs/>
          <w:color w:val="800000"/>
          <w:sz w:val="22"/>
          <w:szCs w:val="22"/>
        </w:rPr>
        <w:t>Chapter 7 - The Role of Land-Use Planning on Socioeconomic Development in Mai Chau District, Vietnam.</w:t>
      </w:r>
      <w:bookmarkEnd w:id="39"/>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D. V. </w:t>
      </w:r>
      <w:proofErr w:type="spellStart"/>
      <w:r w:rsidRPr="00505987">
        <w:rPr>
          <w:rFonts w:eastAsia="Times New Roman"/>
        </w:rPr>
        <w:t>Nha</w:t>
      </w:r>
      <w:proofErr w:type="spellEnd"/>
      <w:r w:rsidRPr="00505987">
        <w:rPr>
          <w:rFonts w:eastAsia="Times New Roman"/>
        </w:rPr>
        <w:t xml:space="preserve">. </w:t>
      </w:r>
      <w:proofErr w:type="gramStart"/>
      <w:r w:rsidRPr="00505987">
        <w:rPr>
          <w:rFonts w:eastAsia="Times New Roman"/>
        </w:rPr>
        <w:t>in</w:t>
      </w:r>
      <w:proofErr w:type="gramEnd"/>
      <w:r w:rsidRPr="00505987">
        <w:rPr>
          <w:rFonts w:eastAsia="Times New Roman"/>
        </w:rPr>
        <w:t>: Redefining Diversity &amp; Dynamics of Natural Resources Management in Asia, Volume 2, Elsevier, 2017, pp. 87-111.</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Land-use planning (LUP) is estimated as an ideal tool to allocate and reallocate land resources for development and sustainable development purposes. The objective of the research is to demonstrate the correlation between LUP and socioeconomic development in the Mai Chau District by using simple comparison methods with the help of Statistical Package for the Social Sciences (SPSS). The results show that LUP formulated in 2000 for the development period of 2001 to 2010 correlated closely with some socioeconomic development criteria in the research area. Specifically, the land-use changes in LUP contributed significantly to agricultural and nonagricultural development, residential development, food security, landslide and erosion prevention, reforestation, and change of the labor use toward </w:t>
      </w:r>
      <w:proofErr w:type="spellStart"/>
      <w:r w:rsidRPr="00505987">
        <w:rPr>
          <w:rFonts w:eastAsia="Times New Roman"/>
        </w:rPr>
        <w:t>nonagriculture</w:t>
      </w:r>
      <w:proofErr w:type="spellEnd"/>
      <w:r w:rsidRPr="00505987">
        <w:rPr>
          <w:rFonts w:eastAsia="Times New Roman"/>
        </w:rPr>
        <w:t>. Based on the results, improving LUP should be a concern of not only planners but also of land users.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1364A7" w:rsidRPr="00505987" w:rsidRDefault="00505987" w:rsidP="001364A7">
      <w:pPr>
        <w:spacing w:before="100" w:beforeAutospacing="1" w:after="100" w:afterAutospacing="1"/>
        <w:rPr>
          <w:rFonts w:eastAsia="Times New Roman"/>
        </w:rPr>
      </w:pPr>
      <w:r w:rsidRPr="00505987">
        <w:rPr>
          <w:rFonts w:eastAsia="Times New Roman"/>
        </w:rPr>
        <w:t>              </w:t>
      </w:r>
      <w:hyperlink w:anchor="_top" w:history="1">
        <w:r w:rsidR="001364A7"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0" w:name="m_-7077294561771739990__Toc500340611"/>
      <w:proofErr w:type="gramStart"/>
      <w:r w:rsidRPr="00505987">
        <w:rPr>
          <w:rFonts w:ascii="Calibri" w:eastAsia="Times New Roman" w:hAnsi="Calibri"/>
          <w:b/>
          <w:bCs/>
          <w:color w:val="800000"/>
          <w:sz w:val="22"/>
          <w:szCs w:val="22"/>
        </w:rPr>
        <w:t xml:space="preserve">Developing a Spatial Decision Support System for Rationality Assessment of Land Use Planning Locations in Thai </w:t>
      </w:r>
      <w:proofErr w:type="spellStart"/>
      <w:r w:rsidRPr="00505987">
        <w:rPr>
          <w:rFonts w:ascii="Calibri" w:eastAsia="Times New Roman" w:hAnsi="Calibri"/>
          <w:b/>
          <w:bCs/>
          <w:color w:val="800000"/>
          <w:sz w:val="22"/>
          <w:szCs w:val="22"/>
        </w:rPr>
        <w:t>Binh</w:t>
      </w:r>
      <w:proofErr w:type="spellEnd"/>
      <w:r w:rsidRPr="00505987">
        <w:rPr>
          <w:rFonts w:ascii="Calibri" w:eastAsia="Times New Roman" w:hAnsi="Calibri"/>
          <w:b/>
          <w:bCs/>
          <w:color w:val="800000"/>
          <w:sz w:val="22"/>
          <w:szCs w:val="22"/>
        </w:rPr>
        <w:t xml:space="preserve"> Province, Vietnam.</w:t>
      </w:r>
      <w:bookmarkEnd w:id="40"/>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Xuan Linh Nguyen, Tien Yin Chou, Yao Min Fang, Feng Cheng Lin, Thanh Van Hoang and others. </w:t>
      </w:r>
      <w:proofErr w:type="gramStart"/>
      <w:r w:rsidRPr="00505987">
        <w:rPr>
          <w:rFonts w:eastAsia="Times New Roman"/>
        </w:rPr>
        <w:t>Engineering and Technology - International Science Index World Academy of Science, Geomatics and Civil Engineering 11, 2017,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In Vietnam, land use planning is the most important and powerful tool of the government for sustainable land use and land management. Nevertheless, many of land use planning locations are facing protests from surrounding households due to environmental impacts. In addition, locations are planned completely based on the subjective decisions of planners who are unsupported by tools or scientific methods. Hence, this research aims to assist the decision-makers in evaluating the rationality of planning locations by developing a Spatial </w:t>
      </w:r>
      <w:r w:rsidRPr="00505987">
        <w:rPr>
          <w:rFonts w:eastAsia="Times New Roman"/>
        </w:rPr>
        <w:lastRenderedPageBreak/>
        <w:t xml:space="preserve">Decision Support System (SDSS) using approaches of Geographic Information System (GIS)-based technology, Analytic Hierarchy Process (AHP) multi-criteria-based technique and Fuzzy set theory. An ArcGIS Desktop add-ins named SDSS-LUPA was developed to support users analyzing data and presenting results in friendly format. The Fuzzy-AHP method has been utilized as analytic model for this SDSS. There are 18 planned locations in Hung Ha district (Thai </w:t>
      </w:r>
      <w:proofErr w:type="spellStart"/>
      <w:r w:rsidRPr="00505987">
        <w:rPr>
          <w:rFonts w:eastAsia="Times New Roman"/>
        </w:rPr>
        <w:t>Binh</w:t>
      </w:r>
      <w:proofErr w:type="spellEnd"/>
      <w:r w:rsidRPr="00505987">
        <w:rPr>
          <w:rFonts w:eastAsia="Times New Roman"/>
        </w:rPr>
        <w:t xml:space="preserve"> province, Vietnam) as a case study. The experimental results indicated that the assessment threshold higher than 0.65 while the 18 planned locations were irrational because of close to residential areas or close to water sources. Some potential sites were also proposed to the authorities for consideration of land use planning changes.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41" w:name="m_-7077294561771739990__Toc500340612"/>
      <w:r w:rsidRPr="00505987">
        <w:rPr>
          <w:rFonts w:eastAsia="Times New Roman"/>
          <w:b/>
          <w:bCs/>
          <w:kern w:val="36"/>
          <w:sz w:val="48"/>
          <w:szCs w:val="48"/>
          <w:shd w:val="clear" w:color="auto" w:fill="D3D3D3"/>
        </w:rPr>
        <w:t>Healthcare</w:t>
      </w:r>
      <w:bookmarkEnd w:id="41"/>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2" w:name="m_-7077294561771739990__Toc500340613"/>
      <w:proofErr w:type="gramStart"/>
      <w:r w:rsidRPr="00505987">
        <w:rPr>
          <w:rFonts w:ascii="Calibri" w:eastAsia="Times New Roman" w:hAnsi="Calibri"/>
          <w:b/>
          <w:bCs/>
          <w:color w:val="800000"/>
          <w:sz w:val="22"/>
          <w:szCs w:val="22"/>
        </w:rPr>
        <w:t>Improving human health outcomes with a low-cost intervention to reduce exposures from lead acid battery recycling: Dong Mai, Vietnam.</w:t>
      </w:r>
      <w:bookmarkEnd w:id="42"/>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Bret Ericson, </w:t>
      </w:r>
      <w:proofErr w:type="spellStart"/>
      <w:r w:rsidRPr="00505987">
        <w:rPr>
          <w:rFonts w:eastAsia="Times New Roman"/>
        </w:rPr>
        <w:t>Thi</w:t>
      </w:r>
      <w:proofErr w:type="spellEnd"/>
      <w:r w:rsidRPr="00505987">
        <w:rPr>
          <w:rFonts w:eastAsia="Times New Roman"/>
        </w:rPr>
        <w:t xml:space="preserve"> </w:t>
      </w:r>
      <w:proofErr w:type="gramStart"/>
      <w:r w:rsidRPr="00505987">
        <w:rPr>
          <w:rFonts w:eastAsia="Times New Roman"/>
        </w:rPr>
        <w:t>To</w:t>
      </w:r>
      <w:proofErr w:type="gramEnd"/>
      <w:r w:rsidRPr="00505987">
        <w:rPr>
          <w:rFonts w:eastAsia="Times New Roman"/>
        </w:rPr>
        <w:t xml:space="preserve"> Duong, John Keith, </w:t>
      </w:r>
      <w:proofErr w:type="spellStart"/>
      <w:r w:rsidRPr="00505987">
        <w:rPr>
          <w:rFonts w:eastAsia="Times New Roman"/>
        </w:rPr>
        <w:t>Trong</w:t>
      </w:r>
      <w:proofErr w:type="spellEnd"/>
      <w:r w:rsidRPr="00505987">
        <w:rPr>
          <w:rFonts w:eastAsia="Times New Roman"/>
        </w:rPr>
        <w:t xml:space="preserve"> </w:t>
      </w:r>
      <w:proofErr w:type="spellStart"/>
      <w:r w:rsidRPr="00505987">
        <w:rPr>
          <w:rFonts w:eastAsia="Times New Roman"/>
        </w:rPr>
        <w:t>Cuu</w:t>
      </w:r>
      <w:proofErr w:type="spellEnd"/>
      <w:r w:rsidRPr="00505987">
        <w:rPr>
          <w:rFonts w:eastAsia="Times New Roman"/>
        </w:rPr>
        <w:t xml:space="preserve"> Nguyen, Deborah Havens and others. Environ Res, 2017, volume 161, pp. 181-187.</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This study details the first comprehensive evaluation of the efficacy of a soil lead mitigation project in Dong Mai village, Vietnam. The village's population had been subject to severe lead poisoning for at least a decade as a result of informal Used Lead Acid Battery (ULAB) recycling. Between July 2013 to February 2015, Pure Earth and the Centre for Environment and Community Development (Hanoi, Vietnam) implemented a multi-faceted environmental and human health intervention. The intervention consisted of a series of institutional and low-cost engineering controls including the capping of lead contaminated surface soils, cleaning of home interiors, an education campaign and the construction of a work-clothes changing and bathing facility. The mitigation project resulted in substantial declines in human and environmental lead levels. Remediated home yard and garden areas decreased from an average surface soil concentration of 3940mg/kg to &lt;100mg/kg. One year after the intervention, blood lead levels in children (&lt;6 years old) were reduced by an average of 67%-from a median of 40.4mug/</w:t>
      </w:r>
      <w:proofErr w:type="spellStart"/>
      <w:r w:rsidRPr="00505987">
        <w:rPr>
          <w:rFonts w:eastAsia="Times New Roman"/>
        </w:rPr>
        <w:t>dL</w:t>
      </w:r>
      <w:proofErr w:type="spellEnd"/>
      <w:r w:rsidRPr="00505987">
        <w:rPr>
          <w:rFonts w:eastAsia="Times New Roman"/>
        </w:rPr>
        <w:t xml:space="preserve"> to 13.3mug/</w:t>
      </w:r>
      <w:proofErr w:type="spellStart"/>
      <w:r w:rsidRPr="00505987">
        <w:rPr>
          <w:rFonts w:eastAsia="Times New Roman"/>
        </w:rPr>
        <w:t>dL</w:t>
      </w:r>
      <w:proofErr w:type="spellEnd"/>
      <w:r w:rsidRPr="00505987">
        <w:rPr>
          <w:rFonts w:eastAsia="Times New Roman"/>
        </w:rPr>
        <w:t>. The Dong Mai project resulted in significantly decreased environmental and biological lead levels demonstrating that low-cost, rapid and well-coordinated interventions could be readily applied elsewhere to significantly reduce preventable human health harm.</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3" w:name="m_-7077294561771739990__Toc500340614"/>
      <w:r w:rsidRPr="00505987">
        <w:rPr>
          <w:rFonts w:ascii="Calibri" w:eastAsia="Times New Roman" w:hAnsi="Calibri"/>
          <w:b/>
          <w:bCs/>
          <w:color w:val="800000"/>
          <w:sz w:val="22"/>
          <w:szCs w:val="22"/>
        </w:rPr>
        <w:t>Trauma registry implementation in low- and middle-income countries: challenges and opportunities.</w:t>
      </w:r>
      <w:bookmarkEnd w:id="43"/>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Krishna </w:t>
      </w:r>
      <w:proofErr w:type="spellStart"/>
      <w:r w:rsidRPr="00505987">
        <w:rPr>
          <w:rFonts w:eastAsia="Times New Roman"/>
        </w:rPr>
        <w:t>Bommakanti</w:t>
      </w:r>
      <w:proofErr w:type="spellEnd"/>
      <w:r w:rsidRPr="00505987">
        <w:rPr>
          <w:rFonts w:eastAsia="Times New Roman"/>
        </w:rPr>
        <w:t xml:space="preserve">, Isabelle </w:t>
      </w:r>
      <w:proofErr w:type="spellStart"/>
      <w:r w:rsidRPr="00505987">
        <w:rPr>
          <w:rFonts w:eastAsia="Times New Roman"/>
        </w:rPr>
        <w:t>Feldhaus</w:t>
      </w:r>
      <w:proofErr w:type="spellEnd"/>
      <w:r w:rsidRPr="00505987">
        <w:rPr>
          <w:rFonts w:eastAsia="Times New Roman"/>
        </w:rPr>
        <w:t xml:space="preserve">, Girish </w:t>
      </w:r>
      <w:proofErr w:type="spellStart"/>
      <w:r w:rsidRPr="00505987">
        <w:rPr>
          <w:rFonts w:eastAsia="Times New Roman"/>
        </w:rPr>
        <w:t>Motwani</w:t>
      </w:r>
      <w:proofErr w:type="spellEnd"/>
      <w:r w:rsidRPr="00505987">
        <w:rPr>
          <w:rFonts w:eastAsia="Times New Roman"/>
        </w:rPr>
        <w:t xml:space="preserve">, Rochelle A. Dicker and Catherine </w:t>
      </w:r>
      <w:proofErr w:type="spellStart"/>
      <w:r w:rsidRPr="00505987">
        <w:rPr>
          <w:rFonts w:eastAsia="Times New Roman"/>
        </w:rPr>
        <w:t>Juillard</w:t>
      </w:r>
      <w:proofErr w:type="spellEnd"/>
      <w:r w:rsidRPr="00505987">
        <w:rPr>
          <w:rFonts w:eastAsia="Times New Roman"/>
        </w:rPr>
        <w:t>.</w:t>
      </w:r>
      <w:proofErr w:type="gramEnd"/>
      <w:r w:rsidRPr="00505987">
        <w:rPr>
          <w:rFonts w:eastAsia="Times New Roman"/>
        </w:rPr>
        <w:t xml:space="preserve"> Journal of Surgical Research, 2018, volume 223, number Supplement C, pp. 72-86.</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Trauma registries are an essential part of trauma quality improvement programs aimed at decreasing morbidity and mortality in high-income countries. In low- and middle-income countries (LMICs), where the burden of injury is disproportionately high, hospitals have faced challenges in adapting trauma registry models implemented in high-income countries. We analyze the barriers to trauma registry implementation in LMICs to inform development of sustainable models in resource-constrained settings. A structured review of published literature was performed. Relevant abstracts were identified using the PubMed, </w:t>
      </w:r>
      <w:proofErr w:type="spellStart"/>
      <w:r w:rsidRPr="00505987">
        <w:rPr>
          <w:rFonts w:eastAsia="Times New Roman"/>
        </w:rPr>
        <w:t>Embase</w:t>
      </w:r>
      <w:proofErr w:type="spellEnd"/>
      <w:r w:rsidRPr="00505987">
        <w:rPr>
          <w:rFonts w:eastAsia="Times New Roman"/>
        </w:rPr>
        <w:t>, and CINAHL databases. The search terms included were: “implement registry,” “trauma registry,” “wounds and injuries,” and “injury registry” combined with “Africa,” “Asia,” “low and middle income countries,” “LMIC,” and “developing countries.” Articles describing challenges of trauma registry implementation were reviewed in full and details were abstracted. Twenty-eight articles addressed challenges of implementing trauma registries. Data quality (18), lack of resources (6), insufficient prehospital care (3), and difficulty with administrative duties and hospital organization (2) were reported as the most significant barriers to successful implementation. Solutions to the identified barriers were proposed by 15 articles. All 28 studies acknowledged that the presence of at least one local trauma registry improved injury surveillance and promoted better patient outcomes. Many LMICs face unique challenges to implementation that must be overcome to create sustainable trauma databases. Understanding these barriers and taking steps to evaluate the effectiveness of proposed solutions may further improve trauma care to address the high burden in these settings.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4" w:name="m_-7077294561771739990__Toc500340615"/>
      <w:r w:rsidRPr="00505987">
        <w:rPr>
          <w:rFonts w:ascii="Calibri" w:eastAsia="Times New Roman" w:hAnsi="Calibri"/>
          <w:b/>
          <w:bCs/>
          <w:color w:val="800000"/>
          <w:sz w:val="22"/>
          <w:szCs w:val="22"/>
        </w:rPr>
        <w:t>Childhood overweight and obesity in preschool children – an emerging problem in urban and rural Vietnam: A study of epidemiology and associated factors.</w:t>
      </w:r>
      <w:bookmarkEnd w:id="44"/>
    </w:p>
    <w:p w:rsidR="00505987" w:rsidRPr="00505987" w:rsidRDefault="00505987" w:rsidP="00505987">
      <w:pPr>
        <w:spacing w:before="100" w:beforeAutospacing="1" w:after="100" w:afterAutospacing="1"/>
        <w:rPr>
          <w:rFonts w:eastAsia="Times New Roman"/>
        </w:rPr>
      </w:pPr>
      <w:r w:rsidRPr="00505987">
        <w:rPr>
          <w:rFonts w:eastAsia="Times New Roman"/>
        </w:rPr>
        <w:t>Loan Minh Do, 2017.</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5" w:tgtFrame="_blank" w:history="1">
        <w:r w:rsidRPr="00505987">
          <w:rPr>
            <w:rFonts w:eastAsia="Times New Roman"/>
            <w:color w:val="0000FF"/>
            <w:u w:val="single"/>
          </w:rPr>
          <w:t>https://pdfs.semanticscholar.org/f89a/c890a867941f27a0dfa1f309ff31f2234760.pdf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Background: Childhood overweight and obesity is considered a global epidemic. From being a health problem mainly in high-income countries, it is now an emerging problem in low- </w:t>
      </w:r>
      <w:r w:rsidRPr="00505987">
        <w:rPr>
          <w:rFonts w:eastAsia="Times New Roman"/>
        </w:rPr>
        <w:lastRenderedPageBreak/>
        <w:t>and middle-income parts of the world as well. Contextual knowledge of obesity development dynamics is important as a basis for prevention and intervention strategies. --- Aims: To study overweight and obesity in preschool children focusing on prevalence, incidence and associated factors including parents’ conceptions, in one urban and one rural setting of Hanoi, Vietnam.</w:t>
      </w:r>
    </w:p>
    <w:p w:rsidR="00505987" w:rsidRPr="00505987" w:rsidRDefault="00505987" w:rsidP="00505987">
      <w:pPr>
        <w:spacing w:before="100" w:beforeAutospacing="1" w:after="100" w:afterAutospacing="1"/>
        <w:rPr>
          <w:rFonts w:eastAsia="Times New Roman"/>
        </w:rPr>
      </w:pPr>
      <w:r w:rsidRPr="00505987">
        <w:rPr>
          <w:rFonts w:eastAsia="Times New Roman"/>
        </w:rPr>
        <w:t>Methods: All studies were conducted identically in two Health and Demographic Surveillance Sites, one urban and one rural. Cross-sectional studies were used to study the prevalence of overweight, obesity and associated factors as well as feeding practices involving a total of 2,677</w:t>
      </w:r>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children</w:t>
      </w:r>
      <w:proofErr w:type="gramEnd"/>
      <w:r w:rsidRPr="00505987">
        <w:rPr>
          <w:rFonts w:eastAsia="Times New Roman"/>
        </w:rPr>
        <w:t xml:space="preserve"> three to six years of age. Follow-up studies of the same children were used to describe incidences and prevalence changes over three years. Parents were interviewed and anthropometric data of children and parents were collected. The children were classified as overweight or obese following the definitions of the International Obesity Task Force. Focus group discussions about mothers’ conceptions of childhood overweight were conducted and </w:t>
      </w:r>
      <w:proofErr w:type="spellStart"/>
      <w:r w:rsidRPr="00505987">
        <w:rPr>
          <w:rFonts w:eastAsia="Times New Roman"/>
        </w:rPr>
        <w:t>analysed</w:t>
      </w:r>
      <w:proofErr w:type="spellEnd"/>
      <w:r w:rsidRPr="00505987">
        <w:rPr>
          <w:rFonts w:eastAsia="Times New Roman"/>
        </w:rPr>
        <w:t xml:space="preserve"> with a </w:t>
      </w:r>
      <w:proofErr w:type="spellStart"/>
      <w:r w:rsidRPr="00505987">
        <w:rPr>
          <w:rFonts w:eastAsia="Times New Roman"/>
        </w:rPr>
        <w:t>phenomenographic</w:t>
      </w:r>
      <w:proofErr w:type="spellEnd"/>
      <w:r w:rsidRPr="00505987">
        <w:rPr>
          <w:rFonts w:eastAsia="Times New Roman"/>
        </w:rPr>
        <w:t xml:space="preserve"> approach. --- Results: In 2013, the estimated prevalence of overweight in the urban and rural area was 13.3% and 4.8% respectively. For obesity, the prevalence was 9.2% and 3.5% respectively. Three years later, the prevalence of overweight increased to 25.6% in the urban and to 7.7% in the rural children. The prevalence of obesity decreased to 7.1% in the urban and to 1.9% in the rural </w:t>
      </w:r>
      <w:proofErr w:type="spellStart"/>
      <w:r w:rsidRPr="00505987">
        <w:rPr>
          <w:rFonts w:eastAsia="Times New Roman"/>
        </w:rPr>
        <w:t>rural</w:t>
      </w:r>
      <w:proofErr w:type="spellEnd"/>
      <w:r w:rsidRPr="00505987">
        <w:rPr>
          <w:rFonts w:eastAsia="Times New Roman"/>
        </w:rPr>
        <w:t xml:space="preserve"> area, frequent consumption of fried food, irregular snacks, and increased sedentary time were identified as additional risk factors. The main protective factors were physical activity, having meals at home in the urban area and longer sleep duration at night in the rural area. At the family level, higher socioeconomic status was associated with a higher prevalence of overweight in the urban children. Frequently watching TV food advertisement and availability of snacks at home were risks for the rural children. The qualitative study showed that mothers were concerned about health problems in overweight children. They used their own experiences, growth charts and information from health care providers as well as the mass media to </w:t>
      </w:r>
      <w:proofErr w:type="spellStart"/>
      <w:r w:rsidRPr="00505987">
        <w:rPr>
          <w:rFonts w:eastAsia="Times New Roman"/>
        </w:rPr>
        <w:t>recognise</w:t>
      </w:r>
      <w:proofErr w:type="spellEnd"/>
      <w:r w:rsidRPr="00505987">
        <w:rPr>
          <w:rFonts w:eastAsia="Times New Roman"/>
        </w:rPr>
        <w:t xml:space="preserve"> overweight. The mothers considered unhealthy lifestyle, heritability and economic development as factors contributing to overweight development and based their management of overweight on these as much as possible. This was sometimes challenged by grandparents who commonly regard chubbiness as healthy. --- Conclusion: The prevalence of overweight among preschool children is considerable in Vietnam and increases with age, particularly in the urban area. Obesity prevention and interventions should start early, already at preschool age and include education </w:t>
      </w:r>
      <w:proofErr w:type="spellStart"/>
      <w:r w:rsidRPr="00505987">
        <w:rPr>
          <w:rFonts w:eastAsia="Times New Roman"/>
        </w:rPr>
        <w:t>programmes</w:t>
      </w:r>
      <w:proofErr w:type="spellEnd"/>
      <w:r w:rsidRPr="00505987">
        <w:rPr>
          <w:rFonts w:eastAsia="Times New Roman"/>
        </w:rPr>
        <w:t xml:space="preserve"> with focus on healthy lifestyle for children as well as the entire extended families, not least grandparents. The prevention and interventions should preferably be tailored differently for urban and rural areas. Restrictions on non-healthy food advertisements are recommended.</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5" w:name="m_-7077294561771739990__Toc500340616"/>
      <w:proofErr w:type="gramStart"/>
      <w:r w:rsidRPr="00505987">
        <w:rPr>
          <w:rFonts w:ascii="Calibri" w:eastAsia="Times New Roman" w:hAnsi="Calibri"/>
          <w:b/>
          <w:bCs/>
          <w:color w:val="800000"/>
          <w:sz w:val="22"/>
          <w:szCs w:val="22"/>
        </w:rPr>
        <w:t>Evaluation of an integrated multisector campaign to increase child helmet use in Vietnam.</w:t>
      </w:r>
      <w:bookmarkEnd w:id="45"/>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xml:space="preserve">Le </w:t>
      </w:r>
      <w:proofErr w:type="spellStart"/>
      <w:r w:rsidRPr="00505987">
        <w:rPr>
          <w:rFonts w:eastAsia="Times New Roman"/>
        </w:rPr>
        <w:t>Dinh</w:t>
      </w:r>
      <w:proofErr w:type="spellEnd"/>
      <w:r w:rsidRPr="00505987">
        <w:rPr>
          <w:rFonts w:eastAsia="Times New Roman"/>
        </w:rPr>
        <w:t xml:space="preserve"> </w:t>
      </w:r>
      <w:proofErr w:type="spellStart"/>
      <w:r w:rsidRPr="00505987">
        <w:rPr>
          <w:rFonts w:eastAsia="Times New Roman"/>
        </w:rPr>
        <w:t>Trong</w:t>
      </w:r>
      <w:proofErr w:type="spellEnd"/>
      <w:r w:rsidRPr="00505987">
        <w:rPr>
          <w:rFonts w:eastAsia="Times New Roman"/>
        </w:rPr>
        <w:t xml:space="preserve"> </w:t>
      </w:r>
      <w:proofErr w:type="spellStart"/>
      <w:r w:rsidRPr="00505987">
        <w:rPr>
          <w:rFonts w:eastAsia="Times New Roman"/>
        </w:rPr>
        <w:t>Nhan</w:t>
      </w:r>
      <w:proofErr w:type="spellEnd"/>
      <w:r w:rsidRPr="00505987">
        <w:rPr>
          <w:rFonts w:eastAsia="Times New Roman"/>
        </w:rPr>
        <w:t xml:space="preserve">, Lukas Parker, Mai </w:t>
      </w:r>
      <w:proofErr w:type="spellStart"/>
      <w:r w:rsidRPr="00505987">
        <w:rPr>
          <w:rFonts w:eastAsia="Times New Roman"/>
        </w:rPr>
        <w:t>Thi</w:t>
      </w:r>
      <w:proofErr w:type="spellEnd"/>
      <w:r w:rsidRPr="00505987">
        <w:rPr>
          <w:rFonts w:eastAsia="Times New Roman"/>
        </w:rPr>
        <w:t xml:space="preserve"> </w:t>
      </w:r>
      <w:proofErr w:type="spellStart"/>
      <w:r w:rsidRPr="00505987">
        <w:rPr>
          <w:rFonts w:eastAsia="Times New Roman"/>
        </w:rPr>
        <w:t>Hoai</w:t>
      </w:r>
      <w:proofErr w:type="spellEnd"/>
      <w:r w:rsidRPr="00505987">
        <w:rPr>
          <w:rFonts w:eastAsia="Times New Roman"/>
        </w:rPr>
        <w:t xml:space="preserve"> Son, Erin M Parker, Matthew R Moore and others. </w:t>
      </w:r>
      <w:proofErr w:type="gramStart"/>
      <w:r w:rsidRPr="00505987">
        <w:rPr>
          <w:rFonts w:eastAsia="Times New Roman"/>
        </w:rPr>
        <w:t>Injury Prevention,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Objective </w:t>
      </w:r>
      <w:proofErr w:type="gramStart"/>
      <w:r w:rsidRPr="00505987">
        <w:rPr>
          <w:rFonts w:eastAsia="Times New Roman"/>
        </w:rPr>
        <w:t>This</w:t>
      </w:r>
      <w:proofErr w:type="gramEnd"/>
      <w:r w:rsidRPr="00505987">
        <w:rPr>
          <w:rFonts w:eastAsia="Times New Roman"/>
        </w:rPr>
        <w:t xml:space="preserve"> study presents child helmet use before, during and after implementing the Vietnamese National Child Helmet Action Plan (NCHAP) and evaluates its effect on child helmet use. The NCHAP, an integrated multisector campaign, incorporated a wide-scale public awareness campaign, school-based interventions, increased police patrolling and enforcement, and capacity building and support to relevant government departments in target </w:t>
      </w:r>
      <w:proofErr w:type="spellStart"/>
      <w:r w:rsidRPr="00505987">
        <w:rPr>
          <w:rFonts w:eastAsia="Times New Roman"/>
        </w:rPr>
        <w:t>provinces.Methods</w:t>
      </w:r>
      <w:proofErr w:type="spellEnd"/>
      <w:r w:rsidRPr="00505987">
        <w:rPr>
          <w:rFonts w:eastAsia="Times New Roman"/>
        </w:rPr>
        <w:t xml:space="preserve"> In Vietnam’s three largest cities, 100 schools in 20 districts were selected to monitor motorcycle helmet use </w:t>
      </w:r>
      <w:proofErr w:type="spellStart"/>
      <w:r w:rsidRPr="00505987">
        <w:rPr>
          <w:rFonts w:eastAsia="Times New Roman"/>
        </w:rPr>
        <w:t>behaviour</w:t>
      </w:r>
      <w:proofErr w:type="spellEnd"/>
      <w:r w:rsidRPr="00505987">
        <w:rPr>
          <w:rFonts w:eastAsia="Times New Roman"/>
        </w:rPr>
        <w:t xml:space="preserve">. The effectiveness of the NCHAP was measured by unannounced, filmed observations of student motorcycle passengers and their adult drivers as they arrived or left their schools at four points. Baseline observations at each school were conducted in March 2014, with subsequent observations in April 2015, December 2015 and May 2016.Results Across the 84 218 observed students, student helmet prevalence increased from 36.1% in March 2014 to 69.3% immediately after the initiation in April 2015. Subsequent observations in December 2015 and May 2016 showed a reduction and </w:t>
      </w:r>
      <w:proofErr w:type="spellStart"/>
      <w:r w:rsidRPr="00505987">
        <w:rPr>
          <w:rFonts w:eastAsia="Times New Roman"/>
        </w:rPr>
        <w:t>stabilisation</w:t>
      </w:r>
      <w:proofErr w:type="spellEnd"/>
      <w:r w:rsidRPr="00505987">
        <w:rPr>
          <w:rFonts w:eastAsia="Times New Roman"/>
        </w:rPr>
        <w:t xml:space="preserve"> of helmet use, with 49.8% and 56.9% of students wearing helmets, respectively. Helmet use in students was higher when adult drivers were also wearing </w:t>
      </w:r>
      <w:proofErr w:type="spellStart"/>
      <w:r w:rsidRPr="00505987">
        <w:rPr>
          <w:rFonts w:eastAsia="Times New Roman"/>
        </w:rPr>
        <w:t>helmets.Conclusions</w:t>
      </w:r>
      <w:proofErr w:type="spellEnd"/>
      <w:r w:rsidRPr="00505987">
        <w:rPr>
          <w:rFonts w:eastAsia="Times New Roman"/>
        </w:rPr>
        <w:t xml:space="preserve"> Integrated </w:t>
      </w:r>
      <w:proofErr w:type="spellStart"/>
      <w:r w:rsidRPr="00505987">
        <w:rPr>
          <w:rFonts w:eastAsia="Times New Roman"/>
        </w:rPr>
        <w:t>multisectoral</w:t>
      </w:r>
      <w:proofErr w:type="spellEnd"/>
      <w:r w:rsidRPr="00505987">
        <w:rPr>
          <w:rFonts w:eastAsia="Times New Roman"/>
        </w:rPr>
        <w:t xml:space="preserve"> interventions between governments, civil society and the corporate sector that incorporate communications, school-based education, incentives for change and police enforcement have the potential to increase helmet use among children. Future integrated campaigns may be more effective with an increased focus on parents and other adult drivers given their potential influence on child helmet </w:t>
      </w:r>
      <w:proofErr w:type="spellStart"/>
      <w:r w:rsidRPr="00505987">
        <w:rPr>
          <w:rFonts w:eastAsia="Times New Roman"/>
        </w:rPr>
        <w:t>use</w:t>
      </w:r>
      <w:proofErr w:type="gramStart"/>
      <w:r w:rsidRPr="00505987">
        <w:rPr>
          <w:rFonts w:eastAsia="Times New Roman"/>
        </w:rPr>
        <w:t>.%</w:t>
      </w:r>
      <w:proofErr w:type="gramEnd"/>
      <w:r w:rsidRPr="00505987">
        <w:rPr>
          <w:rFonts w:eastAsia="Times New Roman"/>
        </w:rPr>
        <w:t>U</w:t>
      </w:r>
      <w:proofErr w:type="spellEnd"/>
      <w:r w:rsidRPr="00505987">
        <w:rPr>
          <w:rFonts w:eastAsia="Times New Roman"/>
        </w:rPr>
        <w:t xml:space="preserve"> </w:t>
      </w:r>
      <w:hyperlink r:id="rId26" w:tgtFrame="_blank" w:history="1">
        <w:r w:rsidRPr="00505987">
          <w:rPr>
            <w:rFonts w:eastAsia="Times New Roman"/>
            <w:color w:val="0000FF"/>
            <w:u w:val="single"/>
          </w:rPr>
          <w:t>http://injuryprevention.bmj.com/content/injuryprev/early/2017/11/25/injuryprev-2017-042517.full.pdf</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6" w:name="m_-7077294561771739990__Toc500340617"/>
      <w:proofErr w:type="gramStart"/>
      <w:r w:rsidRPr="00505987">
        <w:rPr>
          <w:rFonts w:ascii="Calibri" w:eastAsia="Times New Roman" w:hAnsi="Calibri"/>
          <w:b/>
          <w:bCs/>
          <w:color w:val="800000"/>
          <w:sz w:val="22"/>
          <w:szCs w:val="22"/>
        </w:rPr>
        <w:t>Public attitudes towards psychiatrists in the metropolitan area of Hanoi, Vietnam.</w:t>
      </w:r>
      <w:bookmarkEnd w:id="46"/>
      <w:proofErr w:type="gramEnd"/>
    </w:p>
    <w:p w:rsidR="00505987" w:rsidRPr="00505987" w:rsidRDefault="00505987" w:rsidP="00505987">
      <w:pPr>
        <w:spacing w:before="100" w:beforeAutospacing="1" w:after="100" w:afterAutospacing="1"/>
        <w:rPr>
          <w:rFonts w:eastAsia="Times New Roman"/>
        </w:rPr>
      </w:pPr>
      <w:proofErr w:type="spellStart"/>
      <w:r w:rsidRPr="00505987">
        <w:rPr>
          <w:rFonts w:eastAsia="Times New Roman"/>
        </w:rPr>
        <w:t>Thi</w:t>
      </w:r>
      <w:proofErr w:type="spellEnd"/>
      <w:r w:rsidRPr="00505987">
        <w:rPr>
          <w:rFonts w:eastAsia="Times New Roman"/>
        </w:rPr>
        <w:t xml:space="preserve"> Minh Tam Ta, </w:t>
      </w:r>
      <w:proofErr w:type="spellStart"/>
      <w:r w:rsidRPr="00505987">
        <w:rPr>
          <w:rFonts w:eastAsia="Times New Roman"/>
        </w:rPr>
        <w:t>Kerem</w:t>
      </w:r>
      <w:proofErr w:type="spellEnd"/>
      <w:r w:rsidRPr="00505987">
        <w:rPr>
          <w:rFonts w:eastAsia="Times New Roman"/>
        </w:rPr>
        <w:t xml:space="preserve"> </w:t>
      </w:r>
      <w:proofErr w:type="spellStart"/>
      <w:r w:rsidRPr="00505987">
        <w:rPr>
          <w:rFonts w:eastAsia="Times New Roman"/>
        </w:rPr>
        <w:t>Böge</w:t>
      </w:r>
      <w:proofErr w:type="spellEnd"/>
      <w:r w:rsidRPr="00505987">
        <w:rPr>
          <w:rFonts w:eastAsia="Times New Roman"/>
        </w:rPr>
        <w:t xml:space="preserve">, Tien </w:t>
      </w:r>
      <w:proofErr w:type="spellStart"/>
      <w:r w:rsidRPr="00505987">
        <w:rPr>
          <w:rFonts w:eastAsia="Times New Roman"/>
        </w:rPr>
        <w:t>Duc</w:t>
      </w:r>
      <w:proofErr w:type="spellEnd"/>
      <w:r w:rsidRPr="00505987">
        <w:rPr>
          <w:rFonts w:eastAsia="Times New Roman"/>
        </w:rPr>
        <w:t xml:space="preserve"> Cao, Georg </w:t>
      </w:r>
      <w:proofErr w:type="spellStart"/>
      <w:r w:rsidRPr="00505987">
        <w:rPr>
          <w:rFonts w:eastAsia="Times New Roman"/>
        </w:rPr>
        <w:t>Schomerus</w:t>
      </w:r>
      <w:proofErr w:type="spellEnd"/>
      <w:r w:rsidRPr="00505987">
        <w:rPr>
          <w:rFonts w:eastAsia="Times New Roman"/>
        </w:rPr>
        <w:t xml:space="preserve">, Tat </w:t>
      </w:r>
      <w:proofErr w:type="spellStart"/>
      <w:r w:rsidRPr="00505987">
        <w:rPr>
          <w:rFonts w:eastAsia="Times New Roman"/>
        </w:rPr>
        <w:t>Dinh</w:t>
      </w:r>
      <w:proofErr w:type="spellEnd"/>
      <w:r w:rsidRPr="00505987">
        <w:rPr>
          <w:rFonts w:eastAsia="Times New Roman"/>
        </w:rPr>
        <w:t xml:space="preserve"> Nguyen and others. </w:t>
      </w:r>
      <w:proofErr w:type="gramStart"/>
      <w:r w:rsidRPr="00505987">
        <w:rPr>
          <w:rFonts w:eastAsia="Times New Roman"/>
        </w:rPr>
        <w:t>Asian Journal of Psychiatry,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Objectives Mental health associated stigmatization remains problematic in low and middle-income countries preventing patients from adequate access to psychiatric care. Public attitudes towards psychiatrists have not been examined in many countries, especially not in Vietnam where merely one psychiatrist per 300.000 </w:t>
      </w:r>
      <w:proofErr w:type="gramStart"/>
      <w:r w:rsidRPr="00505987">
        <w:rPr>
          <w:rFonts w:eastAsia="Times New Roman"/>
        </w:rPr>
        <w:t>population</w:t>
      </w:r>
      <w:proofErr w:type="gramEnd"/>
      <w:r w:rsidRPr="00505987">
        <w:rPr>
          <w:rFonts w:eastAsia="Times New Roman"/>
        </w:rPr>
        <w:t xml:space="preserve"> is available. The study aims to explore attitudes towards psychiatrists in the Hanoi municipality and to identify socio-demographical factors that influence these attitudes. Methods Between April and August 2013, a general population-based survey was carried out in the greater Hanoi area, Vietnam. The sample of 817 participants was stratified according to the latest Vietnamese census (2009) and micro-census (2013) with regards to socio-demographic factors. Multivariate analyses were conducted </w:t>
      </w:r>
      <w:r w:rsidRPr="00505987">
        <w:rPr>
          <w:rFonts w:eastAsia="Times New Roman"/>
        </w:rPr>
        <w:lastRenderedPageBreak/>
        <w:t xml:space="preserve">to determine the influence of these factors on attitudes towards psychiatrists. Results Gender and religious beliefs significantly influenced public attitudes towards psychiatrists. Male participants reported significantly more negative perception towards psychiatrists compared to female respondents. Participants following a religion reported significantly more negative attitudes toward psychiatrists than those without self-reported religious attainment. Conclusions Negative attitudes towards psychiatrists are associated with religious beliefs and gender affiliation in the greater Hanoi area. A strategy that involves religious institutions in raising awareness about mental health issues while considering public's socio-cultural attitudes may pave the way for greater potentialities of adequate psychiatric care, </w:t>
      </w:r>
      <w:proofErr w:type="spellStart"/>
      <w:r w:rsidRPr="00505987">
        <w:rPr>
          <w:rFonts w:eastAsia="Times New Roman"/>
        </w:rPr>
        <w:t>destigmatise</w:t>
      </w:r>
      <w:proofErr w:type="spellEnd"/>
      <w:r w:rsidRPr="00505987">
        <w:rPr>
          <w:rFonts w:eastAsia="Times New Roman"/>
        </w:rPr>
        <w:t xml:space="preserve"> the mental health system, and care provider.</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7" w:name="m_-7077294561771739990__Toc500340618"/>
      <w:r w:rsidRPr="00505987">
        <w:rPr>
          <w:rFonts w:ascii="Calibri" w:eastAsia="Times New Roman" w:hAnsi="Calibri"/>
          <w:b/>
          <w:bCs/>
          <w:color w:val="800000"/>
          <w:sz w:val="22"/>
          <w:szCs w:val="22"/>
        </w:rPr>
        <w:t>Alcohol taxes' contribution to prices in high and middle-income countries: Data from the International Alcohol Control Study.</w:t>
      </w:r>
      <w:bookmarkEnd w:id="47"/>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Martin Wall, Sally </w:t>
      </w:r>
      <w:proofErr w:type="spellStart"/>
      <w:r w:rsidRPr="00505987">
        <w:rPr>
          <w:rFonts w:eastAsia="Times New Roman"/>
        </w:rPr>
        <w:t>Casswell</w:t>
      </w:r>
      <w:proofErr w:type="spellEnd"/>
      <w:r w:rsidRPr="00505987">
        <w:rPr>
          <w:rFonts w:eastAsia="Times New Roman"/>
        </w:rPr>
        <w:t xml:space="preserve">, Sarah </w:t>
      </w:r>
      <w:proofErr w:type="spellStart"/>
      <w:r w:rsidRPr="00505987">
        <w:rPr>
          <w:rFonts w:eastAsia="Times New Roman"/>
        </w:rPr>
        <w:t>Callinan</w:t>
      </w:r>
      <w:proofErr w:type="spellEnd"/>
      <w:r w:rsidRPr="00505987">
        <w:rPr>
          <w:rFonts w:eastAsia="Times New Roman"/>
        </w:rPr>
        <w:t xml:space="preserve">, </w:t>
      </w:r>
      <w:proofErr w:type="spellStart"/>
      <w:r w:rsidRPr="00505987">
        <w:rPr>
          <w:rFonts w:eastAsia="Times New Roman"/>
        </w:rPr>
        <w:t>Surasak</w:t>
      </w:r>
      <w:proofErr w:type="spellEnd"/>
      <w:r w:rsidRPr="00505987">
        <w:rPr>
          <w:rFonts w:eastAsia="Times New Roman"/>
        </w:rPr>
        <w:t xml:space="preserve"> </w:t>
      </w:r>
      <w:proofErr w:type="spellStart"/>
      <w:r w:rsidRPr="00505987">
        <w:rPr>
          <w:rFonts w:eastAsia="Times New Roman"/>
        </w:rPr>
        <w:t>Chaiyasong</w:t>
      </w:r>
      <w:proofErr w:type="spellEnd"/>
      <w:r w:rsidRPr="00505987">
        <w:rPr>
          <w:rFonts w:eastAsia="Times New Roman"/>
        </w:rPr>
        <w:t xml:space="preserve">, Pham Viet </w:t>
      </w:r>
      <w:proofErr w:type="spellStart"/>
      <w:r w:rsidRPr="00505987">
        <w:rPr>
          <w:rFonts w:eastAsia="Times New Roman"/>
        </w:rPr>
        <w:t>Cuong</w:t>
      </w:r>
      <w:proofErr w:type="spellEnd"/>
      <w:r w:rsidRPr="00505987">
        <w:rPr>
          <w:rFonts w:eastAsia="Times New Roman"/>
        </w:rPr>
        <w:t xml:space="preserve"> and others. Drug Alcohol Rev, 2017.</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INTRODUCTION: Taxation is increasingly being used as an effective means of influencing </w:t>
      </w:r>
      <w:proofErr w:type="spellStart"/>
      <w:r w:rsidRPr="00505987">
        <w:rPr>
          <w:rFonts w:eastAsia="Times New Roman"/>
        </w:rPr>
        <w:t>behaviour</w:t>
      </w:r>
      <w:proofErr w:type="spellEnd"/>
      <w:r w:rsidRPr="00505987">
        <w:rPr>
          <w:rFonts w:eastAsia="Times New Roman"/>
        </w:rPr>
        <w:t xml:space="preserve"> in relation to harmful products. In this paper we use data from six participating countries of the International Alcohol Control Study to examine and evaluate their comparative prices and tax regimes. METHODS: We calculate taxes and prices for three high-income and three middle-income countries. The data are drawn from the International Alcohol Control survey and from the Alcohol Environment Protocol. Tax systems are described and then the rates of tax on key products presented. Comparisons are made using the Purchasing Power Parity rates. The price and purchase data from each country's International Alcohol Control survey is then used to calculate the mean percentage of retail price paid in tax weighted by actual consumption. RESULTS: Both ad valorem and specific per unit of alcohol taxation systems are represented among the six countries. The prices differ widely between countries even though presented in terms of Purchasing Power Parity. The percentage of tax in the final price also varies widely but is much lower than the 75% set by the World Health Organization as a goal for tobacco tax. CONCLUSION: There is considerable variation in tax systems and prices across countries. There is scope to increase taxation and this analysis provides comparable data, including the percentage of tax in final price, from some middle and high-income countries for consideration in policy discussion.</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8" w:name="m_-7077294561771739990__Toc500340619"/>
      <w:r w:rsidRPr="00505987">
        <w:rPr>
          <w:rFonts w:ascii="Calibri" w:eastAsia="Times New Roman" w:hAnsi="Calibri"/>
          <w:b/>
          <w:bCs/>
          <w:color w:val="800000"/>
          <w:sz w:val="22"/>
          <w:szCs w:val="22"/>
        </w:rPr>
        <w:lastRenderedPageBreak/>
        <w:t>Acute effects of ambient air pollution on lower respiratory infections in Hanoi children: An eight-year time series study.</w:t>
      </w:r>
      <w:bookmarkEnd w:id="48"/>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Nguyen </w:t>
      </w:r>
      <w:proofErr w:type="spellStart"/>
      <w:r w:rsidRPr="00505987">
        <w:rPr>
          <w:rFonts w:eastAsia="Times New Roman"/>
        </w:rPr>
        <w:t>Thi</w:t>
      </w:r>
      <w:proofErr w:type="spellEnd"/>
      <w:r w:rsidRPr="00505987">
        <w:rPr>
          <w:rFonts w:eastAsia="Times New Roman"/>
        </w:rPr>
        <w:t xml:space="preserve"> Trang </w:t>
      </w:r>
      <w:proofErr w:type="spellStart"/>
      <w:r w:rsidRPr="00505987">
        <w:rPr>
          <w:rFonts w:eastAsia="Times New Roman"/>
        </w:rPr>
        <w:t>Nhung</w:t>
      </w:r>
      <w:proofErr w:type="spellEnd"/>
      <w:r w:rsidRPr="00505987">
        <w:rPr>
          <w:rFonts w:eastAsia="Times New Roman"/>
        </w:rPr>
        <w:t xml:space="preserve">, Christian Schindler, Tran Minh </w:t>
      </w:r>
      <w:proofErr w:type="spellStart"/>
      <w:r w:rsidRPr="00505987">
        <w:rPr>
          <w:rFonts w:eastAsia="Times New Roman"/>
        </w:rPr>
        <w:t>Dien</w:t>
      </w:r>
      <w:proofErr w:type="spellEnd"/>
      <w:r w:rsidRPr="00505987">
        <w:rPr>
          <w:rFonts w:eastAsia="Times New Roman"/>
        </w:rPr>
        <w:t>, Nicole Probst-</w:t>
      </w:r>
      <w:proofErr w:type="spellStart"/>
      <w:r w:rsidRPr="00505987">
        <w:rPr>
          <w:rFonts w:eastAsia="Times New Roman"/>
        </w:rPr>
        <w:t>Hensch</w:t>
      </w:r>
      <w:proofErr w:type="spellEnd"/>
      <w:r w:rsidRPr="00505987">
        <w:rPr>
          <w:rFonts w:eastAsia="Times New Roman"/>
        </w:rPr>
        <w:t>, Laura Perez and others. Environment International, 2018, volume 110, number Supplement C, pp. 139-148.</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7" w:tgtFrame="_blank" w:history="1">
        <w:r w:rsidRPr="00505987">
          <w:rPr>
            <w:rFonts w:eastAsia="Times New Roman"/>
            <w:color w:val="0000FF"/>
            <w:u w:val="single"/>
          </w:rPr>
          <w:t>http://www.sciencedirect.com/science/article/pii/S0160412017309996</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Abstract: Lower respiratory diseases are the most frequent causes of hospital admission in children worldwide, particularly in developing countries. Daily levels of air pollution are associated with lower respiratory diseases, as documented in many time–series studies. However, investigations in low-and-middle-income countries, such as Vietnam, remain sparse. This study investigated the short-term association of ambient air pollution with daily counts of hospital admissions due to pneumonia, bronchitis and asthma among children aged 0–17 in Hanoi, Vietnam. We explored the impact of age, gender and season on these associations. Daily ambient air pollution concentrations and hospital admission counts were extracted from electronic databases received from authorities in Hanoi for the years 2007–2014. The associations between outdoor air pollution levels and hospital admissions were estimated for time lags of zero up to seven days using Quasi-Poisson regression models, adjusted for seasonal variations, meteorological variables, holidays, influenza epidemics and day of week. All ambient air pollutants were positively associated with pneumonia hospitalizations. Significant associations were found for most pollutants except for ozone and sulfur dioxide in children aged 0–17. Increments of an interquartile range (21.9μg/m3) in the 7-day-average level of NO2 were associated with a 6.1% (95%CI 2.5% to 9.8%) increase in pneumonia hospitalizations. These associations remained stable in two-pollutant models. All pollutants other than CO were positively associated with hospitalizations for bronchitis and asthma. Associations were stronger in infants than in children aged 1–5. Strong associations between hospital admissions for lower respiratory infections and daily levels of air pollution confirm the need to adopt sustainable clean air policies in Vietnam to protect children's health.</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49" w:name="m_-7077294561771739990__Toc500340620"/>
      <w:r w:rsidRPr="00505987">
        <w:rPr>
          <w:rFonts w:ascii="Calibri" w:eastAsia="Times New Roman" w:hAnsi="Calibri"/>
          <w:b/>
          <w:bCs/>
          <w:color w:val="800000"/>
          <w:sz w:val="22"/>
          <w:szCs w:val="22"/>
        </w:rPr>
        <w:t>Criteria for prioritization of HIV programs in Viet Nam: a discrete choice experiment.</w:t>
      </w:r>
      <w:bookmarkEnd w:id="49"/>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Ali </w:t>
      </w:r>
      <w:proofErr w:type="spellStart"/>
      <w:r w:rsidRPr="00505987">
        <w:rPr>
          <w:rFonts w:eastAsia="Times New Roman"/>
        </w:rPr>
        <w:t>Safarnejad</w:t>
      </w:r>
      <w:proofErr w:type="spellEnd"/>
      <w:r w:rsidRPr="00505987">
        <w:rPr>
          <w:rFonts w:eastAsia="Times New Roman"/>
        </w:rPr>
        <w:t xml:space="preserve">, Milena Pavlova, </w:t>
      </w:r>
      <w:proofErr w:type="gramStart"/>
      <w:r w:rsidRPr="00505987">
        <w:rPr>
          <w:rFonts w:eastAsia="Times New Roman"/>
        </w:rPr>
        <w:t>Vo</w:t>
      </w:r>
      <w:proofErr w:type="gramEnd"/>
      <w:r w:rsidRPr="00505987">
        <w:rPr>
          <w:rFonts w:eastAsia="Times New Roman"/>
        </w:rPr>
        <w:t xml:space="preserve"> Hai Son, Huynh Lan Phuong and </w:t>
      </w:r>
      <w:proofErr w:type="spellStart"/>
      <w:r w:rsidRPr="00505987">
        <w:rPr>
          <w:rFonts w:eastAsia="Times New Roman"/>
        </w:rPr>
        <w:t>Wim</w:t>
      </w:r>
      <w:proofErr w:type="spellEnd"/>
      <w:r w:rsidRPr="00505987">
        <w:rPr>
          <w:rFonts w:eastAsia="Times New Roman"/>
        </w:rPr>
        <w:t xml:space="preserve"> Groot. BMC Health </w:t>
      </w:r>
      <w:proofErr w:type="spellStart"/>
      <w:r w:rsidRPr="00505987">
        <w:rPr>
          <w:rFonts w:eastAsia="Times New Roman"/>
        </w:rPr>
        <w:t>Serv</w:t>
      </w:r>
      <w:proofErr w:type="spellEnd"/>
      <w:r w:rsidRPr="00505987">
        <w:rPr>
          <w:rFonts w:eastAsia="Times New Roman"/>
        </w:rPr>
        <w:t xml:space="preserve"> Res, 2017, volume 17, number 1, p. 719.</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8" w:tgtFrame="_blank" w:history="1">
        <w:r w:rsidRPr="00505987">
          <w:rPr>
            <w:rFonts w:eastAsia="Times New Roman"/>
            <w:color w:val="0000FF"/>
            <w:u w:val="single"/>
          </w:rPr>
          <w:t>https://bmchealthservres.biomedcentral.com/articles/10.1186/s12913-017-2679-0</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lastRenderedPageBreak/>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BACKGROUND: With the decline in funding for Viet Nam's response to the HIV epidemic, there is a need for evidence on the criteria to guide the prioritization of HIV programs. There is a gap in the research on the relative importance of multiple criteria for prioritizing a package of interventions. This study elicits preferences and the trade-offs made between different HIV programs by relevant stakeholders and decision-makers in Viet Nam. It also pays attention to how differences in social and professional characteristics of stakeholders and their agency affiliations shape preferences for HIV program criteria in Viet Nam. METHODS: This study uses self-explicated ranking and discrete choice experiments to determine the relative importance of five criteria - effectiveness, feasibility, cost-effectiveness, rate of investment and prevention/treatment investment ratio - to stakeholders when they evaluate and select hypothetical HIV programs. The study includes 69 participants from government, civil society, and international development partners. RESULTS: Results of the discrete choice experiment show that overall the feasibility criterion is ranked highest in importance to the participants when choosing a hypothetical HIV program, followed by sustainability, treatment to prevention spending ratio, and effectiveness. The participant's work in management, programming, or decision-making has a significant effect on the importance of some criteria to the participant. In the self-explicated ranking effectiveness </w:t>
      </w:r>
      <w:proofErr w:type="gramStart"/>
      <w:r w:rsidRPr="00505987">
        <w:rPr>
          <w:rFonts w:eastAsia="Times New Roman"/>
        </w:rPr>
        <w:t>is</w:t>
      </w:r>
      <w:proofErr w:type="gramEnd"/>
      <w:r w:rsidRPr="00505987">
        <w:rPr>
          <w:rFonts w:eastAsia="Times New Roman"/>
        </w:rPr>
        <w:t xml:space="preserve"> the most important criterion and the cost-effectiveness criterion ranks low in importance across all groups. CONCLUSIONS: This study has shown that the preferred HIV program in Viet Nam is feasible, front-loaded for sustainability, has a higher proportion of investment on prevention, saves more lives and prevents more infections. Similarities in government and civil society rankings of criteria can create common grounds for future policy dialogues between stakeholders. Innovative models of planning should be utilized to allow inputs of informed stakeholders at relevant stages of the HIV program planning process.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0" w:name="m_-7077294561771739990__Toc500340621"/>
      <w:proofErr w:type="gramStart"/>
      <w:r w:rsidRPr="00505987">
        <w:rPr>
          <w:rFonts w:ascii="Calibri" w:eastAsia="Times New Roman" w:hAnsi="Calibri"/>
          <w:b/>
          <w:bCs/>
          <w:color w:val="800000"/>
          <w:sz w:val="22"/>
          <w:szCs w:val="22"/>
        </w:rPr>
        <w:t>Knowledge of Sexuality and Reproductive Health of People with Physical Disabilities in Vietnam.</w:t>
      </w:r>
      <w:bookmarkEnd w:id="50"/>
      <w:proofErr w:type="gramEnd"/>
    </w:p>
    <w:p w:rsidR="00505987" w:rsidRPr="00505987" w:rsidRDefault="00505987" w:rsidP="00505987">
      <w:pPr>
        <w:spacing w:before="100" w:beforeAutospacing="1" w:after="100" w:afterAutospacing="1"/>
        <w:rPr>
          <w:rFonts w:eastAsia="Times New Roman"/>
        </w:rPr>
      </w:pPr>
      <w:proofErr w:type="spellStart"/>
      <w:r w:rsidRPr="00505987">
        <w:rPr>
          <w:rFonts w:eastAsia="Times New Roman"/>
        </w:rPr>
        <w:t>Thi</w:t>
      </w:r>
      <w:proofErr w:type="spellEnd"/>
      <w:r w:rsidRPr="00505987">
        <w:rPr>
          <w:rFonts w:eastAsia="Times New Roman"/>
        </w:rPr>
        <w:t xml:space="preserve"> </w:t>
      </w:r>
      <w:proofErr w:type="spellStart"/>
      <w:r w:rsidRPr="00505987">
        <w:rPr>
          <w:rFonts w:eastAsia="Times New Roman"/>
        </w:rPr>
        <w:t>Tu</w:t>
      </w:r>
      <w:proofErr w:type="spellEnd"/>
      <w:r w:rsidRPr="00505987">
        <w:rPr>
          <w:rFonts w:eastAsia="Times New Roman"/>
        </w:rPr>
        <w:t xml:space="preserve"> </w:t>
      </w:r>
      <w:proofErr w:type="gramStart"/>
      <w:r w:rsidRPr="00505987">
        <w:rPr>
          <w:rFonts w:eastAsia="Times New Roman"/>
        </w:rPr>
        <w:t>An</w:t>
      </w:r>
      <w:proofErr w:type="gramEnd"/>
      <w:r w:rsidRPr="00505987">
        <w:rPr>
          <w:rFonts w:eastAsia="Times New Roman"/>
        </w:rPr>
        <w:t xml:space="preserve"> Nguyen, </w:t>
      </w:r>
      <w:proofErr w:type="spellStart"/>
      <w:r w:rsidRPr="00505987">
        <w:rPr>
          <w:rFonts w:eastAsia="Times New Roman"/>
        </w:rPr>
        <w:t>Pranee</w:t>
      </w:r>
      <w:proofErr w:type="spellEnd"/>
      <w:r w:rsidRPr="00505987">
        <w:rPr>
          <w:rFonts w:eastAsia="Times New Roman"/>
        </w:rPr>
        <w:t xml:space="preserve"> </w:t>
      </w:r>
      <w:proofErr w:type="spellStart"/>
      <w:r w:rsidRPr="00505987">
        <w:rPr>
          <w:rFonts w:eastAsia="Times New Roman"/>
        </w:rPr>
        <w:t>Liamputtong</w:t>
      </w:r>
      <w:proofErr w:type="spellEnd"/>
      <w:r w:rsidRPr="00505987">
        <w:rPr>
          <w:rFonts w:eastAsia="Times New Roman"/>
        </w:rPr>
        <w:t xml:space="preserve">, Dell </w:t>
      </w:r>
      <w:proofErr w:type="spellStart"/>
      <w:r w:rsidRPr="00505987">
        <w:rPr>
          <w:rFonts w:eastAsia="Times New Roman"/>
        </w:rPr>
        <w:t>Horey</w:t>
      </w:r>
      <w:proofErr w:type="spellEnd"/>
      <w:r w:rsidRPr="00505987">
        <w:rPr>
          <w:rFonts w:eastAsia="Times New Roman"/>
        </w:rPr>
        <w:t xml:space="preserve"> and Melissa </w:t>
      </w:r>
      <w:proofErr w:type="spellStart"/>
      <w:r w:rsidRPr="00505987">
        <w:rPr>
          <w:rFonts w:eastAsia="Times New Roman"/>
        </w:rPr>
        <w:t>Monfries</w:t>
      </w:r>
      <w:proofErr w:type="spellEnd"/>
      <w:r w:rsidRPr="00505987">
        <w:rPr>
          <w:rFonts w:eastAsia="Times New Roman"/>
        </w:rPr>
        <w:t xml:space="preserve">. </w:t>
      </w:r>
      <w:proofErr w:type="gramStart"/>
      <w:r w:rsidRPr="00505987">
        <w:rPr>
          <w:rFonts w:eastAsia="Times New Roman"/>
        </w:rPr>
        <w:t>Sexuality and Disability,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paper discusses the knowledge of sexual and reproductive health among people with physical disabilities in Vietnam. A qualitative research design was adopted. In-depth interviewing and photo elicitation methods were used to collect stories from 20 participants. The findings suggest that without formal education about sexual and reproductive health people with physical disabilities in Vietnam gain knowledge through their experiences and from informal sources of information. Participants perceived safe sex to include contraceptive methods, prevention of sexually transmitted diseases, having orgasm together and finding balance between health and sexual needs. Participants related reproductive health to fertility, restriction of family size, sexually transmitted diseases, and self-care in pregnancy. Reasons for insufficient knowledge included limited education due to: disability and poor family background; limited </w:t>
      </w:r>
      <w:r w:rsidRPr="00505987">
        <w:rPr>
          <w:rFonts w:eastAsia="Times New Roman"/>
        </w:rPr>
        <w:lastRenderedPageBreak/>
        <w:t>education on sexual and reproductive health issues; absence of family and community discourse about sexual and reproductive health; and lack of information resources. Participants acknowledged that their knowledge was inadequate. They wanted to know more about sexual and reproductive health but lacked access to the relevant information. Health care providers, researchers, and policy-makers in Vietnam should address the gaps in sexual and reproductive health care knowledge among people with disabilities in Vietnam and those that provide care to them.</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1" w:name="m_-7077294561771739990__Toc500340622"/>
      <w:r w:rsidRPr="00505987">
        <w:rPr>
          <w:rFonts w:ascii="Calibri" w:eastAsia="Times New Roman" w:hAnsi="Calibri"/>
          <w:b/>
          <w:bCs/>
          <w:color w:val="800000"/>
          <w:sz w:val="22"/>
          <w:szCs w:val="22"/>
        </w:rPr>
        <w:t>Progress On Maternal Health Care In Vietnam: Findings From Vietnam Multiple Indicator Cluster Survey 2000, 2006, 2011 And 2014.</w:t>
      </w:r>
      <w:bookmarkEnd w:id="51"/>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Nguyen </w:t>
      </w:r>
      <w:proofErr w:type="spellStart"/>
      <w:r w:rsidRPr="00505987">
        <w:rPr>
          <w:rFonts w:eastAsia="Times New Roman"/>
        </w:rPr>
        <w:t>Canh</w:t>
      </w:r>
      <w:proofErr w:type="spellEnd"/>
      <w:r w:rsidRPr="00505987">
        <w:rPr>
          <w:rFonts w:eastAsia="Times New Roman"/>
        </w:rPr>
        <w:t xml:space="preserve"> </w:t>
      </w:r>
      <w:proofErr w:type="spellStart"/>
      <w:r w:rsidRPr="00505987">
        <w:rPr>
          <w:rFonts w:eastAsia="Times New Roman"/>
        </w:rPr>
        <w:t>Chuong</w:t>
      </w:r>
      <w:proofErr w:type="spellEnd"/>
      <w:r w:rsidRPr="00505987">
        <w:rPr>
          <w:rFonts w:eastAsia="Times New Roman"/>
        </w:rPr>
        <w:t xml:space="preserve">, Hoang Van Minh, Doan </w:t>
      </w:r>
      <w:proofErr w:type="spellStart"/>
      <w:r w:rsidRPr="00505987">
        <w:rPr>
          <w:rFonts w:eastAsia="Times New Roman"/>
        </w:rPr>
        <w:t>Thi</w:t>
      </w:r>
      <w:proofErr w:type="spellEnd"/>
      <w:r w:rsidRPr="00505987">
        <w:rPr>
          <w:rFonts w:eastAsia="Times New Roman"/>
        </w:rPr>
        <w:t xml:space="preserve"> Thuy Duong, Duong Minh </w:t>
      </w:r>
      <w:proofErr w:type="spellStart"/>
      <w:r w:rsidRPr="00505987">
        <w:rPr>
          <w:rFonts w:eastAsia="Times New Roman"/>
        </w:rPr>
        <w:t>Duc</w:t>
      </w:r>
      <w:proofErr w:type="spellEnd"/>
      <w:r w:rsidRPr="00505987">
        <w:rPr>
          <w:rFonts w:eastAsia="Times New Roman"/>
        </w:rPr>
        <w:t xml:space="preserve">, Le </w:t>
      </w:r>
      <w:proofErr w:type="spellStart"/>
      <w:r w:rsidRPr="00505987">
        <w:rPr>
          <w:rFonts w:eastAsia="Times New Roman"/>
        </w:rPr>
        <w:t>Thi</w:t>
      </w:r>
      <w:proofErr w:type="spellEnd"/>
      <w:r w:rsidRPr="00505987">
        <w:rPr>
          <w:rFonts w:eastAsia="Times New Roman"/>
        </w:rPr>
        <w:t xml:space="preserve"> Anh Dao and others. </w:t>
      </w:r>
      <w:proofErr w:type="gramStart"/>
      <w:r w:rsidRPr="00505987">
        <w:rPr>
          <w:rFonts w:eastAsia="Times New Roman"/>
        </w:rPr>
        <w:t>Health Care for Women International,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52" w:name="m_-7077294561771739990__Toc500340623"/>
      <w:r w:rsidRPr="00505987">
        <w:rPr>
          <w:rFonts w:eastAsia="Times New Roman"/>
          <w:b/>
          <w:bCs/>
          <w:kern w:val="36"/>
          <w:sz w:val="48"/>
          <w:szCs w:val="48"/>
          <w:shd w:val="clear" w:color="auto" w:fill="D3D3D3"/>
        </w:rPr>
        <w:t>Law</w:t>
      </w:r>
      <w:bookmarkEnd w:id="52"/>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3" w:name="m_-7077294561771739990__Toc500340624"/>
      <w:proofErr w:type="gramStart"/>
      <w:r w:rsidRPr="00505987">
        <w:rPr>
          <w:rFonts w:ascii="Calibri" w:eastAsia="Times New Roman" w:hAnsi="Calibri"/>
          <w:b/>
          <w:bCs/>
          <w:color w:val="800000"/>
          <w:sz w:val="22"/>
          <w:szCs w:val="22"/>
        </w:rPr>
        <w:t>The Law of China and Vietnam in Comparative Law.</w:t>
      </w:r>
      <w:bookmarkEnd w:id="53"/>
      <w:proofErr w:type="gramEnd"/>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Bui Ngoc Son.</w:t>
      </w:r>
      <w:proofErr w:type="gramEnd"/>
      <w:r w:rsidRPr="00505987">
        <w:rPr>
          <w:rFonts w:eastAsia="Times New Roman"/>
        </w:rPr>
        <w:t xml:space="preserve"> Fordham International Law Journal, 2017, volume 41, number 1.</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29" w:tgtFrame="_blank" w:history="1">
        <w:r w:rsidRPr="00505987">
          <w:rPr>
            <w:rFonts w:eastAsia="Times New Roman"/>
            <w:color w:val="0000FF"/>
            <w:u w:val="single"/>
          </w:rPr>
          <w:t>http://ir.lawnet.fordham.edu/ilj/vol41/iss1/4/</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The law of China and Vietnam has been often ignored or marginalized in mainstream scholarship of comparative law. This is due to three orientalist assumptions, namely: nihilism (lawlessness); instrumentalism (law as a tool for political control without rule of law qualities); and </w:t>
      </w:r>
      <w:proofErr w:type="spellStart"/>
      <w:r w:rsidRPr="00505987">
        <w:rPr>
          <w:rFonts w:eastAsia="Times New Roman"/>
        </w:rPr>
        <w:t>assimilationism</w:t>
      </w:r>
      <w:proofErr w:type="spellEnd"/>
      <w:r w:rsidRPr="00505987">
        <w:rPr>
          <w:rFonts w:eastAsia="Times New Roman"/>
        </w:rPr>
        <w:t xml:space="preserve"> (no distinctive legal systems). These assumptions fail to capture the complexity of law in China and Vietnam and fail to place it in a better positon in comparative law. This Article argues that the exploration of the law of China and Vietnam can substantively enrich comparative law scholarship, for the following reasons: first, there are multiple layers of law throughout their legal history, namely chthonic law, Confucian law, civil law, socialist law, and global law; second, the two states have accommodated some forms of the rule of law as a strategic response to the need to consolidate the legitimacy of the socialist regimes; and third, there are distinctive legal  systems in these countries, namely the Confucian legal system and the </w:t>
      </w:r>
      <w:r w:rsidRPr="00505987">
        <w:rPr>
          <w:rFonts w:eastAsia="Times New Roman"/>
        </w:rPr>
        <w:lastRenderedPageBreak/>
        <w:t>socialist legal system, which are separate from other traditional legal systems (Islamic law, Hindu law, and Buddhist law) and other modern legal systems (civil law and common law). This Article concludes that the study of law in China and Vietnam can make important contributions to: traditional comparative law (functionalism and taxonomy of legal systems); post-modern comparative law (law and ideology, law and politics, law and culture, law and society, and legal pluralism); and global comparative law (legal transplants, global legal diffusion, and law and development).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54" w:name="m_-7077294561771739990__Toc500340625"/>
      <w:r w:rsidRPr="00505987">
        <w:rPr>
          <w:rFonts w:eastAsia="Times New Roman"/>
          <w:b/>
          <w:bCs/>
          <w:kern w:val="36"/>
          <w:sz w:val="48"/>
          <w:szCs w:val="48"/>
          <w:shd w:val="clear" w:color="auto" w:fill="D3D3D3"/>
        </w:rPr>
        <w:t>Social development</w:t>
      </w:r>
      <w:bookmarkEnd w:id="54"/>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5" w:name="m_-7077294561771739990__Toc500340626"/>
      <w:r w:rsidRPr="00505987">
        <w:rPr>
          <w:rFonts w:ascii="Calibri" w:eastAsia="Times New Roman" w:hAnsi="Calibri"/>
          <w:b/>
          <w:bCs/>
          <w:color w:val="800000"/>
          <w:sz w:val="22"/>
          <w:szCs w:val="22"/>
        </w:rPr>
        <w:t>Towards a Typology of Social Work Assessments: Developing practice in Malaysia, Nepal, United Kingdom and Vietnam.</w:t>
      </w:r>
      <w:bookmarkEnd w:id="55"/>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J. Parker, S. </w:t>
      </w:r>
      <w:proofErr w:type="spellStart"/>
      <w:r w:rsidRPr="00505987">
        <w:rPr>
          <w:rFonts w:eastAsia="Times New Roman"/>
        </w:rPr>
        <w:t>Ashencaen</w:t>
      </w:r>
      <w:proofErr w:type="spellEnd"/>
      <w:r w:rsidRPr="00505987">
        <w:rPr>
          <w:rFonts w:eastAsia="Times New Roman"/>
        </w:rPr>
        <w:t xml:space="preserve"> Crabtree, A. </w:t>
      </w:r>
      <w:proofErr w:type="spellStart"/>
      <w:r w:rsidRPr="00505987">
        <w:rPr>
          <w:rFonts w:eastAsia="Times New Roman"/>
        </w:rPr>
        <w:t>Azman</w:t>
      </w:r>
      <w:proofErr w:type="spellEnd"/>
      <w:r w:rsidRPr="00505987">
        <w:rPr>
          <w:rFonts w:eastAsia="Times New Roman"/>
        </w:rPr>
        <w:t xml:space="preserve">, B.R. </w:t>
      </w:r>
      <w:proofErr w:type="spellStart"/>
      <w:r w:rsidRPr="00505987">
        <w:rPr>
          <w:rFonts w:eastAsia="Times New Roman"/>
        </w:rPr>
        <w:t>Nikku</w:t>
      </w:r>
      <w:proofErr w:type="spellEnd"/>
      <w:r w:rsidRPr="00505987">
        <w:rPr>
          <w:rFonts w:eastAsia="Times New Roman"/>
        </w:rPr>
        <w:t xml:space="preserve"> and U.T.T. Nguyen. Social Work &amp; Society International Online Journal, 2017, volume 15, number 2.</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This paper offers a cross-cultural, comparative analysis of social work assessments across four countries: Malaysia, Nepal, Vietnam and the UK. Data were gathered from interviews with social work practitioners in each country, from agencies and from policy sources. Social work assessment is understood as a broad but ubiquitous task which concerns the analysis and exploration of social situations, human conditions and needs and acts as a precursor to social work action oriented towards change. Meanings associated with social work assessment are used to introduce an explanatory model by which to offer comparisons and contrasts of some of the ways that social workers </w:t>
      </w:r>
      <w:proofErr w:type="spellStart"/>
      <w:r w:rsidRPr="00505987">
        <w:rPr>
          <w:rFonts w:eastAsia="Times New Roman"/>
        </w:rPr>
        <w:t>analyse</w:t>
      </w:r>
      <w:proofErr w:type="spellEnd"/>
      <w:r w:rsidRPr="00505987">
        <w:rPr>
          <w:rFonts w:eastAsia="Times New Roman"/>
        </w:rPr>
        <w:t xml:space="preserve"> social situations and individuals with whom they work. An analysis of perceived priorities and challenges for implementation in respect of assessment as a defining or key professional activity is given in this paper. After considering developments in assessment in the four countries it is argued that there is a gravitational pull towards </w:t>
      </w:r>
      <w:proofErr w:type="spellStart"/>
      <w:r w:rsidRPr="00505987">
        <w:rPr>
          <w:rFonts w:eastAsia="Times New Roman"/>
        </w:rPr>
        <w:t>Westernised</w:t>
      </w:r>
      <w:proofErr w:type="spellEnd"/>
      <w:r w:rsidRPr="00505987">
        <w:rPr>
          <w:rFonts w:eastAsia="Times New Roman"/>
        </w:rPr>
        <w:t xml:space="preserve"> assessment models; whereas indigenous exigencies require asserted reflexivity to allow for the development of appropriate synthetic assessment models for each country.</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56" w:name="m_-7077294561771739990__Toc500340627"/>
      <w:r w:rsidRPr="00505987">
        <w:rPr>
          <w:rFonts w:eastAsia="Times New Roman"/>
          <w:b/>
          <w:bCs/>
          <w:kern w:val="36"/>
          <w:sz w:val="48"/>
          <w:szCs w:val="48"/>
          <w:shd w:val="clear" w:color="auto" w:fill="D3D3D3"/>
        </w:rPr>
        <w:lastRenderedPageBreak/>
        <w:t>Tourism</w:t>
      </w:r>
      <w:bookmarkEnd w:id="56"/>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7" w:name="m_-7077294561771739990__Toc500340628"/>
      <w:r w:rsidRPr="00505987">
        <w:rPr>
          <w:rFonts w:ascii="Calibri" w:eastAsia="Times New Roman" w:hAnsi="Calibri"/>
          <w:b/>
          <w:bCs/>
          <w:color w:val="800000"/>
          <w:sz w:val="22"/>
          <w:szCs w:val="22"/>
        </w:rPr>
        <w:t xml:space="preserve">Carrying Capacity in Vietnamese National Parks: A Case Study of </w:t>
      </w:r>
      <w:proofErr w:type="spellStart"/>
      <w:r w:rsidRPr="00505987">
        <w:rPr>
          <w:rFonts w:ascii="Calibri" w:eastAsia="Times New Roman" w:hAnsi="Calibri"/>
          <w:b/>
          <w:bCs/>
          <w:color w:val="800000"/>
          <w:sz w:val="22"/>
          <w:szCs w:val="22"/>
        </w:rPr>
        <w:t>Phong</w:t>
      </w:r>
      <w:proofErr w:type="spellEnd"/>
      <w:r w:rsidRPr="00505987">
        <w:rPr>
          <w:rFonts w:ascii="Calibri" w:eastAsia="Times New Roman" w:hAnsi="Calibri"/>
          <w:b/>
          <w:bCs/>
          <w:color w:val="800000"/>
          <w:sz w:val="22"/>
          <w:szCs w:val="22"/>
        </w:rPr>
        <w:t xml:space="preserve"> </w:t>
      </w:r>
      <w:proofErr w:type="spellStart"/>
      <w:r w:rsidRPr="00505987">
        <w:rPr>
          <w:rFonts w:ascii="Calibri" w:eastAsia="Times New Roman" w:hAnsi="Calibri"/>
          <w:b/>
          <w:bCs/>
          <w:color w:val="800000"/>
          <w:sz w:val="22"/>
          <w:szCs w:val="22"/>
        </w:rPr>
        <w:t>Nha-Ke</w:t>
      </w:r>
      <w:proofErr w:type="spellEnd"/>
      <w:r w:rsidRPr="00505987">
        <w:rPr>
          <w:rFonts w:ascii="Calibri" w:eastAsia="Times New Roman" w:hAnsi="Calibri"/>
          <w:b/>
          <w:bCs/>
          <w:color w:val="800000"/>
          <w:sz w:val="22"/>
          <w:szCs w:val="22"/>
        </w:rPr>
        <w:t xml:space="preserve"> Bang.</w:t>
      </w:r>
      <w:bookmarkEnd w:id="57"/>
    </w:p>
    <w:p w:rsidR="00505987" w:rsidRPr="00505987" w:rsidRDefault="00505987" w:rsidP="00505987">
      <w:pPr>
        <w:spacing w:before="100" w:beforeAutospacing="1" w:after="100" w:afterAutospacing="1"/>
        <w:rPr>
          <w:rFonts w:eastAsia="Times New Roman"/>
        </w:rPr>
      </w:pPr>
      <w:proofErr w:type="gramStart"/>
      <w:r w:rsidRPr="00505987">
        <w:rPr>
          <w:rFonts w:eastAsia="Times New Roman"/>
        </w:rPr>
        <w:t xml:space="preserve">Tuan </w:t>
      </w:r>
      <w:proofErr w:type="spellStart"/>
      <w:r w:rsidRPr="00505987">
        <w:rPr>
          <w:rFonts w:eastAsia="Times New Roman"/>
        </w:rPr>
        <w:t>Phong</w:t>
      </w:r>
      <w:proofErr w:type="spellEnd"/>
      <w:r w:rsidRPr="00505987">
        <w:rPr>
          <w:rFonts w:eastAsia="Times New Roman"/>
        </w:rPr>
        <w:t xml:space="preserve"> Ly and </w:t>
      </w:r>
      <w:proofErr w:type="spellStart"/>
      <w:r w:rsidRPr="00505987">
        <w:rPr>
          <w:rFonts w:eastAsia="Times New Roman"/>
        </w:rPr>
        <w:t>Thi</w:t>
      </w:r>
      <w:proofErr w:type="spellEnd"/>
      <w:r w:rsidRPr="00505987">
        <w:rPr>
          <w:rFonts w:eastAsia="Times New Roman"/>
        </w:rPr>
        <w:t xml:space="preserve"> Hong Hai Nguyen.</w:t>
      </w:r>
      <w:proofErr w:type="gramEnd"/>
      <w:r w:rsidRPr="00505987">
        <w:rPr>
          <w:rFonts w:eastAsia="Times New Roman"/>
        </w:rPr>
        <w:t xml:space="preserve"> </w:t>
      </w:r>
      <w:proofErr w:type="gramStart"/>
      <w:r w:rsidRPr="00505987">
        <w:rPr>
          <w:rFonts w:eastAsia="Times New Roman"/>
        </w:rPr>
        <w:t>Critical Tourism Studies Proceedings, 2017.</w:t>
      </w:r>
      <w:proofErr w:type="gramEnd"/>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Free full text </w:t>
      </w:r>
      <w:hyperlink r:id="rId30" w:tgtFrame="_blank" w:history="1">
        <w:r w:rsidRPr="00505987">
          <w:rPr>
            <w:rFonts w:eastAsia="Times New Roman"/>
            <w:color w:val="0000FF"/>
            <w:u w:val="single"/>
          </w:rPr>
          <w:t>https://digitalcommons.library.tru.ca/cgi/viewcontent.cgi?article=1156&amp;context=cts-proceedings</w:t>
        </w:r>
      </w:hyperlink>
      <w:r w:rsidRPr="00505987">
        <w:rPr>
          <w:rFonts w:eastAsia="Times New Roman"/>
        </w:rPr>
        <w: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Implementing carrying capacity is a prerequisite for national parks striving to meet the triple mandate of park management, which are recreational use, conservation and economic value. Vietnam, a developing country, the issue of carrying capacity is recognized and has been mentioned in policy and regulation documents, but with no provision of comprehensive guidelines for implementation. Therefore, this study aims to investigate the application of carrying capacity in Vietnamese park system and assessing its application process for further development of the concept, using </w:t>
      </w:r>
      <w:proofErr w:type="spellStart"/>
      <w:r w:rsidRPr="00505987">
        <w:rPr>
          <w:rFonts w:eastAsia="Times New Roman"/>
        </w:rPr>
        <w:t>Phong</w:t>
      </w:r>
      <w:proofErr w:type="spellEnd"/>
      <w:r w:rsidRPr="00505987">
        <w:rPr>
          <w:rFonts w:eastAsia="Times New Roman"/>
        </w:rPr>
        <w:t xml:space="preserve"> </w:t>
      </w:r>
      <w:proofErr w:type="spellStart"/>
      <w:r w:rsidRPr="00505987">
        <w:rPr>
          <w:rFonts w:eastAsia="Times New Roman"/>
        </w:rPr>
        <w:t>Nha</w:t>
      </w:r>
      <w:proofErr w:type="spellEnd"/>
      <w:r w:rsidRPr="00505987">
        <w:rPr>
          <w:rFonts w:eastAsia="Times New Roman"/>
        </w:rPr>
        <w:t xml:space="preserve">- </w:t>
      </w:r>
      <w:proofErr w:type="spellStart"/>
      <w:r w:rsidRPr="00505987">
        <w:rPr>
          <w:rFonts w:eastAsia="Times New Roman"/>
        </w:rPr>
        <w:t>Ke</w:t>
      </w:r>
      <w:proofErr w:type="spellEnd"/>
      <w:r w:rsidRPr="00505987">
        <w:rPr>
          <w:rFonts w:eastAsia="Times New Roman"/>
        </w:rPr>
        <w:t xml:space="preserve"> Bang National Park as a case study. The park was selected due to its World Heritage status, which is the only park in Vietnam applying the up to date public and for profit model. The qualitative field studies were prolonged</w:t>
      </w:r>
      <w:proofErr w:type="gramStart"/>
      <w:r w:rsidRPr="00505987">
        <w:rPr>
          <w:rFonts w:eastAsia="Times New Roman"/>
        </w:rPr>
        <w:t>  conducted</w:t>
      </w:r>
      <w:proofErr w:type="gramEnd"/>
      <w:r w:rsidRPr="00505987">
        <w:rPr>
          <w:rFonts w:eastAsia="Times New Roman"/>
        </w:rPr>
        <w:t xml:space="preserve"> from 2012 to 2015 using observation, documentation and in-depth interview methods. The findings show that the park has partly-used the carrying capacity concept to control tourist flow. Intervention point of carrying capacity application seems to be rather subjective. Some major factors led to the current application are also discussed for further improvement.</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outlineLvl w:val="0"/>
        <w:rPr>
          <w:rFonts w:eastAsia="Times New Roman"/>
          <w:b/>
          <w:bCs/>
          <w:kern w:val="36"/>
          <w:sz w:val="48"/>
          <w:szCs w:val="48"/>
        </w:rPr>
      </w:pPr>
      <w:bookmarkStart w:id="58" w:name="m_-7077294561771739990__Toc500340629"/>
      <w:r w:rsidRPr="00505987">
        <w:rPr>
          <w:rFonts w:eastAsia="Times New Roman"/>
          <w:b/>
          <w:bCs/>
          <w:kern w:val="36"/>
          <w:sz w:val="48"/>
          <w:szCs w:val="48"/>
          <w:shd w:val="clear" w:color="auto" w:fill="D3D3D3"/>
        </w:rPr>
        <w:t>Water</w:t>
      </w:r>
      <w:bookmarkEnd w:id="58"/>
      <w:r w:rsidRPr="00505987">
        <w:rPr>
          <w:rFonts w:eastAsia="Times New Roman"/>
          <w:b/>
          <w:bCs/>
          <w:kern w:val="36"/>
          <w:sz w:val="48"/>
          <w:szCs w:val="48"/>
          <w:shd w:val="clear" w:color="auto" w:fill="D3D3D3"/>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outlineLvl w:val="1"/>
        <w:rPr>
          <w:rFonts w:eastAsia="Times New Roman"/>
          <w:b/>
          <w:bCs/>
          <w:sz w:val="36"/>
          <w:szCs w:val="36"/>
        </w:rPr>
      </w:pPr>
      <w:bookmarkStart w:id="59" w:name="m_-7077294561771739990__Toc500340630"/>
      <w:r w:rsidRPr="00505987">
        <w:rPr>
          <w:rFonts w:ascii="Calibri" w:eastAsia="Times New Roman" w:hAnsi="Calibri"/>
          <w:b/>
          <w:bCs/>
          <w:color w:val="800000"/>
          <w:sz w:val="22"/>
          <w:szCs w:val="22"/>
        </w:rPr>
        <w:t>Chapter 16 - Knowledge Transfer in International Water Resource Management—Six Challenges A2 - Hart, Barry T.</w:t>
      </w:r>
      <w:bookmarkEnd w:id="59"/>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I. Campbell and C. Barlow. </w:t>
      </w:r>
      <w:proofErr w:type="gramStart"/>
      <w:r w:rsidRPr="00505987">
        <w:rPr>
          <w:rFonts w:eastAsia="Times New Roman"/>
        </w:rPr>
        <w:t>in</w:t>
      </w:r>
      <w:proofErr w:type="gramEnd"/>
      <w:r w:rsidRPr="00505987">
        <w:rPr>
          <w:rFonts w:eastAsia="Times New Roman"/>
        </w:rPr>
        <w:t>: Decision Making in Water Resources Policy and Management, Academic Press, 2017, pp. 293-303.</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xml:space="preserve">Abstract: Based on our experience in the Mekong Basin we identify key challenges to the transfer of water resources management knowledge between developed and less-developed </w:t>
      </w:r>
      <w:r w:rsidRPr="00505987">
        <w:rPr>
          <w:rFonts w:eastAsia="Times New Roman"/>
        </w:rPr>
        <w:lastRenderedPageBreak/>
        <w:t>regions. Differences in the biophysical environment provide the challenge most expected, and probably most easily handled, by resource managers. However, challenges provided by lack of knowledge of the resource, lack of local capacity, differences in socioeconomic conditions, culture, and political circumstances are far more difficult to address. Additionally, transferring expertise between countries and regions is challenging. Knowledge transfer can only be successful if the knowledge is wanted and needed by the recipients, and transfer processes are often quite slow. In transferring knowledge or techniques, it is essential to be sensitive to the biophysical, and especially cultural and political differences, between regions. Good managers are happy to “borrow” ideas from elsewhere and wise enough to adapt them to their local circumstances.</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BE049A" w:rsidRPr="00505987" w:rsidRDefault="00505987" w:rsidP="00BE049A">
      <w:pPr>
        <w:spacing w:before="100" w:beforeAutospacing="1" w:after="100" w:afterAutospacing="1"/>
        <w:rPr>
          <w:rFonts w:eastAsia="Times New Roman"/>
        </w:rPr>
      </w:pPr>
      <w:r w:rsidRPr="00505987">
        <w:rPr>
          <w:rFonts w:eastAsia="Times New Roman"/>
        </w:rPr>
        <w:t>              </w:t>
      </w:r>
      <w:hyperlink w:anchor="_top" w:history="1">
        <w:r w:rsidR="00BE049A" w:rsidRPr="00505987">
          <w:rPr>
            <w:rFonts w:eastAsia="Times New Roman"/>
            <w:color w:val="0000FF"/>
            <w:u w:val="single"/>
          </w:rPr>
          <w:t>Back to top</w:t>
        </w:r>
      </w:hyperlink>
    </w:p>
    <w:p w:rsidR="00505987" w:rsidRPr="00505987" w:rsidRDefault="00505987" w:rsidP="00505987">
      <w:pPr>
        <w:spacing w:before="100" w:beforeAutospacing="1" w:after="100" w:afterAutospacing="1"/>
        <w:rPr>
          <w:rFonts w:eastAsia="Times New Roman"/>
        </w:rPr>
      </w:pPr>
      <w:bookmarkStart w:id="60" w:name="_GoBack"/>
      <w:bookmarkEnd w:id="60"/>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rPr>
        <w:t> </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w:t>
      </w:r>
    </w:p>
    <w:p w:rsidR="00505987" w:rsidRPr="00505987" w:rsidRDefault="00505987" w:rsidP="00505987">
      <w:pPr>
        <w:spacing w:before="100" w:beforeAutospacing="1" w:after="100" w:afterAutospacing="1"/>
        <w:rPr>
          <w:rFonts w:eastAsia="Times New Roman"/>
        </w:rPr>
      </w:pPr>
      <w:proofErr w:type="spellStart"/>
      <w:r w:rsidRPr="00505987">
        <w:rPr>
          <w:rFonts w:eastAsia="Times New Roman"/>
          <w:color w:val="1F3864"/>
        </w:rPr>
        <w:t>Vũ</w:t>
      </w:r>
      <w:proofErr w:type="spellEnd"/>
      <w:r w:rsidRPr="00505987">
        <w:rPr>
          <w:rFonts w:eastAsia="Times New Roman"/>
          <w:color w:val="1F3864"/>
        </w:rPr>
        <w:t xml:space="preserve"> </w:t>
      </w:r>
      <w:proofErr w:type="spellStart"/>
      <w:r w:rsidRPr="00505987">
        <w:rPr>
          <w:rFonts w:eastAsia="Times New Roman"/>
          <w:color w:val="1F3864"/>
        </w:rPr>
        <w:t>Thị</w:t>
      </w:r>
      <w:proofErr w:type="spellEnd"/>
      <w:r w:rsidRPr="00505987">
        <w:rPr>
          <w:rFonts w:eastAsia="Times New Roman"/>
          <w:color w:val="1F3864"/>
        </w:rPr>
        <w:t xml:space="preserve"> </w:t>
      </w:r>
      <w:proofErr w:type="spellStart"/>
      <w:r w:rsidRPr="00505987">
        <w:rPr>
          <w:rFonts w:eastAsia="Times New Roman"/>
          <w:color w:val="1F3864"/>
        </w:rPr>
        <w:t>Nha</w:t>
      </w:r>
      <w:proofErr w:type="spellEnd"/>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Librarian</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World Bank Group</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63 Ly Thai To, Hanoi, Vietnam</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Tel.: +84-4-3934 6845</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xml:space="preserve">Email: </w:t>
      </w:r>
      <w:hyperlink r:id="rId31" w:tgtFrame="_blank" w:history="1">
        <w:r w:rsidRPr="00505987">
          <w:rPr>
            <w:rFonts w:eastAsia="Times New Roman"/>
            <w:color w:val="1F3864"/>
            <w:u w:val="single"/>
          </w:rPr>
          <w:t>nvu2@worldbankgroup.org</w:t>
        </w:r>
      </w:hyperlink>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xml:space="preserve">World Bank Vietnam web site </w:t>
      </w:r>
      <w:hyperlink r:id="rId32" w:tgtFrame="_blank" w:history="1">
        <w:r w:rsidRPr="00505987">
          <w:rPr>
            <w:rFonts w:eastAsia="Times New Roman"/>
            <w:color w:val="1F3864"/>
            <w:u w:val="single"/>
          </w:rPr>
          <w:t>http://www.worldbank.org.vn</w:t>
        </w:r>
      </w:hyperlink>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xml:space="preserve">WB’s free documents and reports </w:t>
      </w:r>
      <w:hyperlink r:id="rId33" w:tgtFrame="_blank" w:history="1">
        <w:r w:rsidRPr="00505987">
          <w:rPr>
            <w:rFonts w:eastAsia="Times New Roman"/>
            <w:color w:val="1F3864"/>
            <w:u w:val="single"/>
          </w:rPr>
          <w:t>http://www.worldbank.org/documents</w:t>
        </w:r>
      </w:hyperlink>
      <w:r w:rsidRPr="00505987">
        <w:rPr>
          <w:rFonts w:eastAsia="Times New Roman"/>
          <w:color w:val="1F3864"/>
        </w:rPr>
        <w:t xml:space="preserve"> </w:t>
      </w:r>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lastRenderedPageBreak/>
        <w:t xml:space="preserve">WB’s free publications &amp; research </w:t>
      </w:r>
      <w:hyperlink r:id="rId34" w:tgtFrame="_blank" w:history="1">
        <w:r w:rsidRPr="00505987">
          <w:rPr>
            <w:rFonts w:eastAsia="Times New Roman"/>
            <w:color w:val="1F3864"/>
            <w:u w:val="single"/>
          </w:rPr>
          <w:t>http://openknowledge.worldbank.org</w:t>
        </w:r>
      </w:hyperlink>
    </w:p>
    <w:p w:rsidR="00505987" w:rsidRPr="00505987" w:rsidRDefault="00505987" w:rsidP="00505987">
      <w:pPr>
        <w:spacing w:before="100" w:beforeAutospacing="1" w:after="100" w:afterAutospacing="1"/>
        <w:rPr>
          <w:rFonts w:eastAsia="Times New Roman"/>
        </w:rPr>
      </w:pPr>
      <w:r w:rsidRPr="00505987">
        <w:rPr>
          <w:rFonts w:eastAsia="Times New Roman"/>
          <w:color w:val="1F3864"/>
        </w:rPr>
        <w:t xml:space="preserve">WB’s free data &amp; statistics </w:t>
      </w:r>
      <w:hyperlink r:id="rId35" w:tgtFrame="_blank" w:history="1">
        <w:r w:rsidRPr="00505987">
          <w:rPr>
            <w:rFonts w:eastAsia="Times New Roman"/>
            <w:color w:val="1F3864"/>
            <w:u w:val="single"/>
          </w:rPr>
          <w:t>http://data.worldbank.org</w:t>
        </w:r>
      </w:hyperlink>
    </w:p>
    <w:p w:rsidR="00973BCC" w:rsidRPr="007C12A2" w:rsidRDefault="00973BCC" w:rsidP="00505987">
      <w:pPr>
        <w:numPr>
          <w:ilvl w:val="0"/>
          <w:numId w:val="28"/>
        </w:numPr>
        <w:spacing w:before="100" w:beforeAutospacing="1" w:after="100" w:afterAutospacing="1"/>
      </w:pPr>
    </w:p>
    <w:sectPr w:rsidR="00973BCC" w:rsidRPr="007C12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116" w:rsidRDefault="001F3116" w:rsidP="00FB5556">
      <w:r>
        <w:separator/>
      </w:r>
    </w:p>
  </w:endnote>
  <w:endnote w:type="continuationSeparator" w:id="0">
    <w:p w:rsidR="001F3116" w:rsidRDefault="001F3116" w:rsidP="00FB5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116" w:rsidRDefault="001F3116" w:rsidP="00FB5556">
      <w:r>
        <w:separator/>
      </w:r>
    </w:p>
  </w:footnote>
  <w:footnote w:type="continuationSeparator" w:id="0">
    <w:p w:rsidR="001F3116" w:rsidRDefault="001F3116" w:rsidP="00FB55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2979"/>
    <w:multiLevelType w:val="multilevel"/>
    <w:tmpl w:val="6900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E167B"/>
    <w:multiLevelType w:val="multilevel"/>
    <w:tmpl w:val="290E8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1278AD"/>
    <w:multiLevelType w:val="multilevel"/>
    <w:tmpl w:val="9C748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514C5C"/>
    <w:multiLevelType w:val="multilevel"/>
    <w:tmpl w:val="40F8F6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FFA0F07"/>
    <w:multiLevelType w:val="multilevel"/>
    <w:tmpl w:val="47FE6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F56EEB"/>
    <w:multiLevelType w:val="multilevel"/>
    <w:tmpl w:val="F210ED0C"/>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132380E"/>
    <w:multiLevelType w:val="multilevel"/>
    <w:tmpl w:val="48E8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7D50A4"/>
    <w:multiLevelType w:val="multilevel"/>
    <w:tmpl w:val="B3CC2666"/>
    <w:lvl w:ilvl="0">
      <w:start w:val="2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BA006E"/>
    <w:multiLevelType w:val="multilevel"/>
    <w:tmpl w:val="4570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0E7312"/>
    <w:multiLevelType w:val="multilevel"/>
    <w:tmpl w:val="89A05072"/>
    <w:lvl w:ilvl="0">
      <w:start w:val="1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73841C4"/>
    <w:multiLevelType w:val="multilevel"/>
    <w:tmpl w:val="7798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2F73DB"/>
    <w:multiLevelType w:val="multilevel"/>
    <w:tmpl w:val="AF54D7FC"/>
    <w:lvl w:ilvl="0">
      <w:start w:val="1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07B103F"/>
    <w:multiLevelType w:val="multilevel"/>
    <w:tmpl w:val="CCA8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023921"/>
    <w:multiLevelType w:val="multilevel"/>
    <w:tmpl w:val="BFF4A3A4"/>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8A13EB4"/>
    <w:multiLevelType w:val="multilevel"/>
    <w:tmpl w:val="A45E4854"/>
    <w:lvl w:ilvl="0">
      <w:start w:val="1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B1B29E8"/>
    <w:multiLevelType w:val="multilevel"/>
    <w:tmpl w:val="E8FCB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BE176F"/>
    <w:multiLevelType w:val="multilevel"/>
    <w:tmpl w:val="5192A97E"/>
    <w:lvl w:ilvl="0">
      <w:start w:val="1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EF7278"/>
    <w:multiLevelType w:val="multilevel"/>
    <w:tmpl w:val="5EE6F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59507A"/>
    <w:multiLevelType w:val="multilevel"/>
    <w:tmpl w:val="380816DC"/>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DB74BEC"/>
    <w:multiLevelType w:val="multilevel"/>
    <w:tmpl w:val="CA7EBE04"/>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1BF78E9"/>
    <w:multiLevelType w:val="multilevel"/>
    <w:tmpl w:val="ADC2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2BE2F36"/>
    <w:multiLevelType w:val="multilevel"/>
    <w:tmpl w:val="BC6ACF46"/>
    <w:lvl w:ilvl="0">
      <w:start w:val="2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7705CE5"/>
    <w:multiLevelType w:val="multilevel"/>
    <w:tmpl w:val="3402A3B2"/>
    <w:lvl w:ilvl="0">
      <w:start w:val="20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FD13972"/>
    <w:multiLevelType w:val="multilevel"/>
    <w:tmpl w:val="F4D05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0BF6414"/>
    <w:multiLevelType w:val="multilevel"/>
    <w:tmpl w:val="1A520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E9C45EB"/>
    <w:multiLevelType w:val="multilevel"/>
    <w:tmpl w:val="F1F27F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0DA53C1"/>
    <w:multiLevelType w:val="multilevel"/>
    <w:tmpl w:val="A31E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A8220E"/>
    <w:multiLevelType w:val="multilevel"/>
    <w:tmpl w:val="4A866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752462"/>
    <w:multiLevelType w:val="multilevel"/>
    <w:tmpl w:val="D8CEFDDA"/>
    <w:lvl w:ilvl="0">
      <w:start w:val="20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BB8504A"/>
    <w:multiLevelType w:val="multilevel"/>
    <w:tmpl w:val="CB66C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DA17EB"/>
    <w:multiLevelType w:val="multilevel"/>
    <w:tmpl w:val="9BD26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87630F"/>
    <w:multiLevelType w:val="multilevel"/>
    <w:tmpl w:val="235244DA"/>
    <w:lvl w:ilvl="0">
      <w:start w:val="3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24334B6"/>
    <w:multiLevelType w:val="multilevel"/>
    <w:tmpl w:val="E60AA4D4"/>
    <w:lvl w:ilvl="0">
      <w:start w:val="3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47F0690"/>
    <w:multiLevelType w:val="multilevel"/>
    <w:tmpl w:val="F782E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AC445C"/>
    <w:multiLevelType w:val="multilevel"/>
    <w:tmpl w:val="7018C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8435D1"/>
    <w:multiLevelType w:val="multilevel"/>
    <w:tmpl w:val="B0CC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
  </w:num>
  <w:num w:numId="3">
    <w:abstractNumId w:val="2"/>
  </w:num>
  <w:num w:numId="4">
    <w:abstractNumId w:val="10"/>
  </w:num>
  <w:num w:numId="5">
    <w:abstractNumId w:val="15"/>
  </w:num>
  <w:num w:numId="6">
    <w:abstractNumId w:val="27"/>
  </w:num>
  <w:num w:numId="7">
    <w:abstractNumId w:val="29"/>
  </w:num>
  <w:num w:numId="8">
    <w:abstractNumId w:val="30"/>
  </w:num>
  <w:num w:numId="9">
    <w:abstractNumId w:val="8"/>
  </w:num>
  <w:num w:numId="10">
    <w:abstractNumId w:val="33"/>
  </w:num>
  <w:num w:numId="11">
    <w:abstractNumId w:val="16"/>
  </w:num>
  <w:num w:numId="12">
    <w:abstractNumId w:val="28"/>
  </w:num>
  <w:num w:numId="13">
    <w:abstractNumId w:val="5"/>
  </w:num>
  <w:num w:numId="14">
    <w:abstractNumId w:val="21"/>
  </w:num>
  <w:num w:numId="15">
    <w:abstractNumId w:val="13"/>
  </w:num>
  <w:num w:numId="16">
    <w:abstractNumId w:val="14"/>
  </w:num>
  <w:num w:numId="17">
    <w:abstractNumId w:val="3"/>
  </w:num>
  <w:num w:numId="18">
    <w:abstractNumId w:val="31"/>
  </w:num>
  <w:num w:numId="19">
    <w:abstractNumId w:val="23"/>
  </w:num>
  <w:num w:numId="20">
    <w:abstractNumId w:val="1"/>
  </w:num>
  <w:num w:numId="21">
    <w:abstractNumId w:val="34"/>
  </w:num>
  <w:num w:numId="22">
    <w:abstractNumId w:val="0"/>
  </w:num>
  <w:num w:numId="23">
    <w:abstractNumId w:val="6"/>
  </w:num>
  <w:num w:numId="24">
    <w:abstractNumId w:val="17"/>
  </w:num>
  <w:num w:numId="25">
    <w:abstractNumId w:val="35"/>
  </w:num>
  <w:num w:numId="26">
    <w:abstractNumId w:val="24"/>
  </w:num>
  <w:num w:numId="27">
    <w:abstractNumId w:val="26"/>
  </w:num>
  <w:num w:numId="28">
    <w:abstractNumId w:val="20"/>
  </w:num>
  <w:num w:numId="29">
    <w:abstractNumId w:val="11"/>
  </w:num>
  <w:num w:numId="30">
    <w:abstractNumId w:val="22"/>
  </w:num>
  <w:num w:numId="31">
    <w:abstractNumId w:val="18"/>
  </w:num>
  <w:num w:numId="32">
    <w:abstractNumId w:val="7"/>
  </w:num>
  <w:num w:numId="33">
    <w:abstractNumId w:val="19"/>
  </w:num>
  <w:num w:numId="34">
    <w:abstractNumId w:val="9"/>
  </w:num>
  <w:num w:numId="35">
    <w:abstractNumId w:val="2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2A2"/>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B65"/>
    <w:rsid w:val="000A2D09"/>
    <w:rsid w:val="000A3FA4"/>
    <w:rsid w:val="000A4678"/>
    <w:rsid w:val="000A5A3E"/>
    <w:rsid w:val="000A7125"/>
    <w:rsid w:val="000B2675"/>
    <w:rsid w:val="000B334A"/>
    <w:rsid w:val="000B42D5"/>
    <w:rsid w:val="000B6674"/>
    <w:rsid w:val="000B6A57"/>
    <w:rsid w:val="000B7AF9"/>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5592"/>
    <w:rsid w:val="00103120"/>
    <w:rsid w:val="00105731"/>
    <w:rsid w:val="00105D02"/>
    <w:rsid w:val="00111019"/>
    <w:rsid w:val="0011517C"/>
    <w:rsid w:val="001165ED"/>
    <w:rsid w:val="00116619"/>
    <w:rsid w:val="001228A8"/>
    <w:rsid w:val="00124FC7"/>
    <w:rsid w:val="00130C6B"/>
    <w:rsid w:val="001351DE"/>
    <w:rsid w:val="0013553C"/>
    <w:rsid w:val="001364A7"/>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D1D"/>
    <w:rsid w:val="001F1E9A"/>
    <w:rsid w:val="001F29FC"/>
    <w:rsid w:val="001F2B7E"/>
    <w:rsid w:val="001F3081"/>
    <w:rsid w:val="001F3116"/>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1BB"/>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FC"/>
    <w:rsid w:val="004F56B7"/>
    <w:rsid w:val="004F5AA5"/>
    <w:rsid w:val="004F63FA"/>
    <w:rsid w:val="004F78B4"/>
    <w:rsid w:val="00500F06"/>
    <w:rsid w:val="005022FC"/>
    <w:rsid w:val="00502FA6"/>
    <w:rsid w:val="00503C5B"/>
    <w:rsid w:val="00504BBD"/>
    <w:rsid w:val="00505987"/>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12A2"/>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5473"/>
    <w:rsid w:val="00815F82"/>
    <w:rsid w:val="0081779B"/>
    <w:rsid w:val="00817C4C"/>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70215"/>
    <w:rsid w:val="008707F5"/>
    <w:rsid w:val="008751D9"/>
    <w:rsid w:val="008757ED"/>
    <w:rsid w:val="0088125D"/>
    <w:rsid w:val="00881369"/>
    <w:rsid w:val="0088190A"/>
    <w:rsid w:val="0088292D"/>
    <w:rsid w:val="00883D08"/>
    <w:rsid w:val="008850AD"/>
    <w:rsid w:val="00886A9C"/>
    <w:rsid w:val="00887B8C"/>
    <w:rsid w:val="008920A6"/>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1AD4"/>
    <w:rsid w:val="00A73BBC"/>
    <w:rsid w:val="00A743CA"/>
    <w:rsid w:val="00A744AA"/>
    <w:rsid w:val="00A7771A"/>
    <w:rsid w:val="00A7785E"/>
    <w:rsid w:val="00A77989"/>
    <w:rsid w:val="00A80146"/>
    <w:rsid w:val="00A80A72"/>
    <w:rsid w:val="00A815CE"/>
    <w:rsid w:val="00A8163A"/>
    <w:rsid w:val="00A854C4"/>
    <w:rsid w:val="00A85D44"/>
    <w:rsid w:val="00A85FF6"/>
    <w:rsid w:val="00A866F8"/>
    <w:rsid w:val="00A87F13"/>
    <w:rsid w:val="00A906D1"/>
    <w:rsid w:val="00A93D5B"/>
    <w:rsid w:val="00A94E8E"/>
    <w:rsid w:val="00A950BF"/>
    <w:rsid w:val="00A95403"/>
    <w:rsid w:val="00A95E65"/>
    <w:rsid w:val="00AA08CA"/>
    <w:rsid w:val="00AA0BBE"/>
    <w:rsid w:val="00AA16CA"/>
    <w:rsid w:val="00AA31B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49A"/>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2533D"/>
    <w:rsid w:val="00E30519"/>
    <w:rsid w:val="00E329C2"/>
    <w:rsid w:val="00E32D47"/>
    <w:rsid w:val="00E33163"/>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6601"/>
    <w:rsid w:val="00FA7396"/>
    <w:rsid w:val="00FB2565"/>
    <w:rsid w:val="00FB2796"/>
    <w:rsid w:val="00FB4517"/>
    <w:rsid w:val="00FB5556"/>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7C12A2"/>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7C12A2"/>
    <w:pPr>
      <w:spacing w:before="100" w:beforeAutospacing="1" w:after="100" w:afterAutospacing="1"/>
      <w:outlineLvl w:val="1"/>
    </w:pPr>
    <w:rPr>
      <w:rFonts w:eastAsia="Times New Roman"/>
      <w:b/>
      <w:bCs/>
      <w:sz w:val="36"/>
      <w:szCs w:val="36"/>
    </w:rPr>
  </w:style>
  <w:style w:type="paragraph" w:styleId="Heading3">
    <w:name w:val="heading 3"/>
    <w:basedOn w:val="Normal"/>
    <w:next w:val="Normal"/>
    <w:link w:val="Heading3Char"/>
    <w:uiPriority w:val="9"/>
    <w:unhideWhenUsed/>
    <w:qFormat/>
    <w:rsid w:val="00FB555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7C12A2"/>
    <w:rPr>
      <w:rFonts w:eastAsia="Times New Roman"/>
      <w:b/>
      <w:bCs/>
      <w:kern w:val="36"/>
      <w:sz w:val="48"/>
      <w:szCs w:val="48"/>
    </w:rPr>
  </w:style>
  <w:style w:type="character" w:customStyle="1" w:styleId="Heading2Char">
    <w:name w:val="Heading 2 Char"/>
    <w:basedOn w:val="DefaultParagraphFont"/>
    <w:link w:val="Heading2"/>
    <w:uiPriority w:val="9"/>
    <w:rsid w:val="007C12A2"/>
    <w:rPr>
      <w:rFonts w:eastAsia="Times New Roman"/>
      <w:b/>
      <w:bCs/>
      <w:sz w:val="36"/>
      <w:szCs w:val="36"/>
    </w:rPr>
  </w:style>
  <w:style w:type="numbering" w:customStyle="1" w:styleId="NoList1">
    <w:name w:val="No List1"/>
    <w:next w:val="NoList"/>
    <w:uiPriority w:val="99"/>
    <w:semiHidden/>
    <w:unhideWhenUsed/>
    <w:rsid w:val="007C12A2"/>
  </w:style>
  <w:style w:type="paragraph" w:styleId="NormalWeb">
    <w:name w:val="Normal (Web)"/>
    <w:basedOn w:val="Normal"/>
    <w:uiPriority w:val="99"/>
    <w:semiHidden/>
    <w:unhideWhenUsed/>
    <w:rsid w:val="007C12A2"/>
    <w:pPr>
      <w:spacing w:before="100" w:beforeAutospacing="1" w:after="100" w:afterAutospacing="1"/>
    </w:pPr>
    <w:rPr>
      <w:rFonts w:eastAsia="Times New Roman"/>
    </w:rPr>
  </w:style>
  <w:style w:type="character" w:styleId="Strong">
    <w:name w:val="Strong"/>
    <w:basedOn w:val="DefaultParagraphFont"/>
    <w:uiPriority w:val="22"/>
    <w:qFormat/>
    <w:rsid w:val="007C12A2"/>
    <w:rPr>
      <w:b/>
      <w:bCs/>
    </w:rPr>
  </w:style>
  <w:style w:type="character" w:styleId="Hyperlink">
    <w:name w:val="Hyperlink"/>
    <w:basedOn w:val="DefaultParagraphFont"/>
    <w:uiPriority w:val="99"/>
    <w:unhideWhenUsed/>
    <w:rsid w:val="007C12A2"/>
    <w:rPr>
      <w:color w:val="0000FF"/>
      <w:u w:val="single"/>
    </w:rPr>
  </w:style>
  <w:style w:type="character" w:styleId="FollowedHyperlink">
    <w:name w:val="FollowedHyperlink"/>
    <w:basedOn w:val="DefaultParagraphFont"/>
    <w:uiPriority w:val="99"/>
    <w:semiHidden/>
    <w:unhideWhenUsed/>
    <w:rsid w:val="007C12A2"/>
    <w:rPr>
      <w:color w:val="800080"/>
      <w:u w:val="single"/>
    </w:rPr>
  </w:style>
  <w:style w:type="numbering" w:customStyle="1" w:styleId="NoList2">
    <w:name w:val="No List2"/>
    <w:next w:val="NoList"/>
    <w:uiPriority w:val="99"/>
    <w:semiHidden/>
    <w:unhideWhenUsed/>
    <w:rsid w:val="007C12A2"/>
  </w:style>
  <w:style w:type="paragraph" w:styleId="ListParagraph">
    <w:name w:val="List Paragraph"/>
    <w:basedOn w:val="Normal"/>
    <w:uiPriority w:val="34"/>
    <w:qFormat/>
    <w:rsid w:val="00505987"/>
    <w:pPr>
      <w:ind w:left="720"/>
      <w:contextualSpacing/>
    </w:pPr>
  </w:style>
  <w:style w:type="paragraph" w:styleId="Header">
    <w:name w:val="header"/>
    <w:basedOn w:val="Normal"/>
    <w:link w:val="HeaderChar"/>
    <w:uiPriority w:val="99"/>
    <w:unhideWhenUsed/>
    <w:rsid w:val="00FB5556"/>
    <w:pPr>
      <w:tabs>
        <w:tab w:val="center" w:pos="4680"/>
        <w:tab w:val="right" w:pos="9360"/>
      </w:tabs>
    </w:pPr>
  </w:style>
  <w:style w:type="character" w:customStyle="1" w:styleId="HeaderChar">
    <w:name w:val="Header Char"/>
    <w:basedOn w:val="DefaultParagraphFont"/>
    <w:link w:val="Header"/>
    <w:uiPriority w:val="99"/>
    <w:rsid w:val="00FB5556"/>
  </w:style>
  <w:style w:type="paragraph" w:styleId="Footer">
    <w:name w:val="footer"/>
    <w:basedOn w:val="Normal"/>
    <w:link w:val="FooterChar"/>
    <w:uiPriority w:val="99"/>
    <w:unhideWhenUsed/>
    <w:rsid w:val="00FB5556"/>
    <w:pPr>
      <w:tabs>
        <w:tab w:val="center" w:pos="4680"/>
        <w:tab w:val="right" w:pos="9360"/>
      </w:tabs>
    </w:pPr>
  </w:style>
  <w:style w:type="character" w:customStyle="1" w:styleId="FooterChar">
    <w:name w:val="Footer Char"/>
    <w:basedOn w:val="DefaultParagraphFont"/>
    <w:link w:val="Footer"/>
    <w:uiPriority w:val="99"/>
    <w:rsid w:val="00FB5556"/>
  </w:style>
  <w:style w:type="character" w:customStyle="1" w:styleId="Heading3Char">
    <w:name w:val="Heading 3 Char"/>
    <w:basedOn w:val="DefaultParagraphFont"/>
    <w:link w:val="Heading3"/>
    <w:uiPriority w:val="9"/>
    <w:rsid w:val="00FB5556"/>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7C12A2"/>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7C12A2"/>
    <w:pPr>
      <w:spacing w:before="100" w:beforeAutospacing="1" w:after="100" w:afterAutospacing="1"/>
      <w:outlineLvl w:val="1"/>
    </w:pPr>
    <w:rPr>
      <w:rFonts w:eastAsia="Times New Roman"/>
      <w:b/>
      <w:bCs/>
      <w:sz w:val="36"/>
      <w:szCs w:val="36"/>
    </w:rPr>
  </w:style>
  <w:style w:type="paragraph" w:styleId="Heading3">
    <w:name w:val="heading 3"/>
    <w:basedOn w:val="Normal"/>
    <w:next w:val="Normal"/>
    <w:link w:val="Heading3Char"/>
    <w:uiPriority w:val="9"/>
    <w:unhideWhenUsed/>
    <w:qFormat/>
    <w:rsid w:val="00FB555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7C12A2"/>
    <w:rPr>
      <w:rFonts w:eastAsia="Times New Roman"/>
      <w:b/>
      <w:bCs/>
      <w:kern w:val="36"/>
      <w:sz w:val="48"/>
      <w:szCs w:val="48"/>
    </w:rPr>
  </w:style>
  <w:style w:type="character" w:customStyle="1" w:styleId="Heading2Char">
    <w:name w:val="Heading 2 Char"/>
    <w:basedOn w:val="DefaultParagraphFont"/>
    <w:link w:val="Heading2"/>
    <w:uiPriority w:val="9"/>
    <w:rsid w:val="007C12A2"/>
    <w:rPr>
      <w:rFonts w:eastAsia="Times New Roman"/>
      <w:b/>
      <w:bCs/>
      <w:sz w:val="36"/>
      <w:szCs w:val="36"/>
    </w:rPr>
  </w:style>
  <w:style w:type="numbering" w:customStyle="1" w:styleId="NoList1">
    <w:name w:val="No List1"/>
    <w:next w:val="NoList"/>
    <w:uiPriority w:val="99"/>
    <w:semiHidden/>
    <w:unhideWhenUsed/>
    <w:rsid w:val="007C12A2"/>
  </w:style>
  <w:style w:type="paragraph" w:styleId="NormalWeb">
    <w:name w:val="Normal (Web)"/>
    <w:basedOn w:val="Normal"/>
    <w:uiPriority w:val="99"/>
    <w:semiHidden/>
    <w:unhideWhenUsed/>
    <w:rsid w:val="007C12A2"/>
    <w:pPr>
      <w:spacing w:before="100" w:beforeAutospacing="1" w:after="100" w:afterAutospacing="1"/>
    </w:pPr>
    <w:rPr>
      <w:rFonts w:eastAsia="Times New Roman"/>
    </w:rPr>
  </w:style>
  <w:style w:type="character" w:styleId="Strong">
    <w:name w:val="Strong"/>
    <w:basedOn w:val="DefaultParagraphFont"/>
    <w:uiPriority w:val="22"/>
    <w:qFormat/>
    <w:rsid w:val="007C12A2"/>
    <w:rPr>
      <w:b/>
      <w:bCs/>
    </w:rPr>
  </w:style>
  <w:style w:type="character" w:styleId="Hyperlink">
    <w:name w:val="Hyperlink"/>
    <w:basedOn w:val="DefaultParagraphFont"/>
    <w:uiPriority w:val="99"/>
    <w:unhideWhenUsed/>
    <w:rsid w:val="007C12A2"/>
    <w:rPr>
      <w:color w:val="0000FF"/>
      <w:u w:val="single"/>
    </w:rPr>
  </w:style>
  <w:style w:type="character" w:styleId="FollowedHyperlink">
    <w:name w:val="FollowedHyperlink"/>
    <w:basedOn w:val="DefaultParagraphFont"/>
    <w:uiPriority w:val="99"/>
    <w:semiHidden/>
    <w:unhideWhenUsed/>
    <w:rsid w:val="007C12A2"/>
    <w:rPr>
      <w:color w:val="800080"/>
      <w:u w:val="single"/>
    </w:rPr>
  </w:style>
  <w:style w:type="numbering" w:customStyle="1" w:styleId="NoList2">
    <w:name w:val="No List2"/>
    <w:next w:val="NoList"/>
    <w:uiPriority w:val="99"/>
    <w:semiHidden/>
    <w:unhideWhenUsed/>
    <w:rsid w:val="007C12A2"/>
  </w:style>
  <w:style w:type="paragraph" w:styleId="ListParagraph">
    <w:name w:val="List Paragraph"/>
    <w:basedOn w:val="Normal"/>
    <w:uiPriority w:val="34"/>
    <w:qFormat/>
    <w:rsid w:val="00505987"/>
    <w:pPr>
      <w:ind w:left="720"/>
      <w:contextualSpacing/>
    </w:pPr>
  </w:style>
  <w:style w:type="paragraph" w:styleId="Header">
    <w:name w:val="header"/>
    <w:basedOn w:val="Normal"/>
    <w:link w:val="HeaderChar"/>
    <w:uiPriority w:val="99"/>
    <w:unhideWhenUsed/>
    <w:rsid w:val="00FB5556"/>
    <w:pPr>
      <w:tabs>
        <w:tab w:val="center" w:pos="4680"/>
        <w:tab w:val="right" w:pos="9360"/>
      </w:tabs>
    </w:pPr>
  </w:style>
  <w:style w:type="character" w:customStyle="1" w:styleId="HeaderChar">
    <w:name w:val="Header Char"/>
    <w:basedOn w:val="DefaultParagraphFont"/>
    <w:link w:val="Header"/>
    <w:uiPriority w:val="99"/>
    <w:rsid w:val="00FB5556"/>
  </w:style>
  <w:style w:type="paragraph" w:styleId="Footer">
    <w:name w:val="footer"/>
    <w:basedOn w:val="Normal"/>
    <w:link w:val="FooterChar"/>
    <w:uiPriority w:val="99"/>
    <w:unhideWhenUsed/>
    <w:rsid w:val="00FB5556"/>
    <w:pPr>
      <w:tabs>
        <w:tab w:val="center" w:pos="4680"/>
        <w:tab w:val="right" w:pos="9360"/>
      </w:tabs>
    </w:pPr>
  </w:style>
  <w:style w:type="character" w:customStyle="1" w:styleId="FooterChar">
    <w:name w:val="Footer Char"/>
    <w:basedOn w:val="DefaultParagraphFont"/>
    <w:link w:val="Footer"/>
    <w:uiPriority w:val="99"/>
    <w:rsid w:val="00FB5556"/>
  </w:style>
  <w:style w:type="character" w:customStyle="1" w:styleId="Heading3Char">
    <w:name w:val="Heading 3 Char"/>
    <w:basedOn w:val="DefaultParagraphFont"/>
    <w:link w:val="Heading3"/>
    <w:uiPriority w:val="9"/>
    <w:rsid w:val="00FB5556"/>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268086">
      <w:bodyDiv w:val="1"/>
      <w:marLeft w:val="0"/>
      <w:marRight w:val="0"/>
      <w:marTop w:val="0"/>
      <w:marBottom w:val="0"/>
      <w:divBdr>
        <w:top w:val="none" w:sz="0" w:space="0" w:color="auto"/>
        <w:left w:val="none" w:sz="0" w:space="0" w:color="auto"/>
        <w:bottom w:val="none" w:sz="0" w:space="0" w:color="auto"/>
        <w:right w:val="none" w:sz="0" w:space="0" w:color="auto"/>
      </w:divBdr>
    </w:div>
    <w:div w:id="930241080">
      <w:bodyDiv w:val="1"/>
      <w:marLeft w:val="0"/>
      <w:marRight w:val="0"/>
      <w:marTop w:val="0"/>
      <w:marBottom w:val="0"/>
      <w:divBdr>
        <w:top w:val="none" w:sz="0" w:space="0" w:color="auto"/>
        <w:left w:val="none" w:sz="0" w:space="0" w:color="auto"/>
        <w:bottom w:val="none" w:sz="0" w:space="0" w:color="auto"/>
        <w:right w:val="none" w:sz="0" w:space="0" w:color="auto"/>
      </w:divBdr>
    </w:div>
    <w:div w:id="1648168365">
      <w:bodyDiv w:val="1"/>
      <w:marLeft w:val="0"/>
      <w:marRight w:val="0"/>
      <w:marTop w:val="0"/>
      <w:marBottom w:val="0"/>
      <w:divBdr>
        <w:top w:val="none" w:sz="0" w:space="0" w:color="auto"/>
        <w:left w:val="none" w:sz="0" w:space="0" w:color="auto"/>
        <w:bottom w:val="none" w:sz="0" w:space="0" w:color="auto"/>
        <w:right w:val="none" w:sz="0" w:space="0" w:color="auto"/>
      </w:divBdr>
    </w:div>
    <w:div w:id="1783724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gspace.cgiar.org/bitstream/handle/10568/89464/RTB-FoodSTART-Cassava-and-Sweetpotato-Cropping-Practices-FULL-REPORT.pdf" TargetMode="External"/><Relationship Id="rId13" Type="http://schemas.openxmlformats.org/officeDocument/2006/relationships/hyperlink" Target="http://www.eria.org/ERIA-DP-2017-06.pdf" TargetMode="External"/><Relationship Id="rId18" Type="http://schemas.openxmlformats.org/officeDocument/2006/relationships/hyperlink" Target="http://www.mdpi.com/2071-1050/9/11/2142" TargetMode="External"/><Relationship Id="rId26" Type="http://schemas.openxmlformats.org/officeDocument/2006/relationships/hyperlink" Target="http://injuryprevention.bmj.com/content/injuryprev/early/2017/11/25/injuryprev-2017-042517.full.pdf" TargetMode="External"/><Relationship Id="rId3" Type="http://schemas.microsoft.com/office/2007/relationships/stylesWithEffects" Target="stylesWithEffects.xml"/><Relationship Id="rId21" Type="http://schemas.openxmlformats.org/officeDocument/2006/relationships/hyperlink" Target="https://doi.org/10.1080/19475705.2017.1401561" TargetMode="External"/><Relationship Id="rId34" Type="http://schemas.openxmlformats.org/officeDocument/2006/relationships/hyperlink" Target="http://openknowledge.worldbank.org/" TargetMode="External"/><Relationship Id="rId7" Type="http://schemas.openxmlformats.org/officeDocument/2006/relationships/endnotes" Target="endnotes.xml"/><Relationship Id="rId12" Type="http://schemas.openxmlformats.org/officeDocument/2006/relationships/hyperlink" Target="https://www.rieti.go.jp/jp/publications/dp/17e121.pdf" TargetMode="External"/><Relationship Id="rId17" Type="http://schemas.openxmlformats.org/officeDocument/2006/relationships/hyperlink" Target="https://www.younglives.org.uk/content/how-many-rooms-are-there-your-house-constructing-young-lives-wealth-index" TargetMode="External"/><Relationship Id="rId25" Type="http://schemas.openxmlformats.org/officeDocument/2006/relationships/hyperlink" Target="https://pdfs.semanticscholar.org/f89a/c890a867941f27a0dfa1f309ff31f2234760.pdf" TargetMode="External"/><Relationship Id="rId33" Type="http://schemas.openxmlformats.org/officeDocument/2006/relationships/hyperlink" Target="http://www.worldbank.org/documents" TargetMode="External"/><Relationship Id="rId2" Type="http://schemas.openxmlformats.org/officeDocument/2006/relationships/styles" Target="styles.xml"/><Relationship Id="rId16" Type="http://schemas.openxmlformats.org/officeDocument/2006/relationships/hyperlink" Target="https://younglives-india.org/node/1199" TargetMode="External"/><Relationship Id="rId20" Type="http://schemas.openxmlformats.org/officeDocument/2006/relationships/hyperlink" Target="https://espace.library.uq.edu.au/view/UQ:689787" TargetMode="External"/><Relationship Id="rId29" Type="http://schemas.openxmlformats.org/officeDocument/2006/relationships/hyperlink" Target="http://ir.lawnet.fordham.edu/ilj/vol41/iss1/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x.doi.org/10.1002/ird.2172" TargetMode="External"/><Relationship Id="rId24" Type="http://schemas.openxmlformats.org/officeDocument/2006/relationships/hyperlink" Target="http://www.ajstd.org/%7Eajstd/index.php/ajstd/article/download/261/255" TargetMode="External"/><Relationship Id="rId32" Type="http://schemas.openxmlformats.org/officeDocument/2006/relationships/hyperlink" Target="http://www.worldbank.org.vn/"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osipp.osaka-u.ac.jp/archives/DP/2017/DP2017E006.pdf" TargetMode="External"/><Relationship Id="rId23" Type="http://schemas.openxmlformats.org/officeDocument/2006/relationships/hyperlink" Target="http://www.mdpi.com/1660-4601/14/11/1436" TargetMode="External"/><Relationship Id="rId28" Type="http://schemas.openxmlformats.org/officeDocument/2006/relationships/hyperlink" Target="https://bmchealthservres.biomedcentral.com/articles/10.1186/s12913-017-2679-0" TargetMode="External"/><Relationship Id="rId36" Type="http://schemas.openxmlformats.org/officeDocument/2006/relationships/fontTable" Target="fontTable.xml"/><Relationship Id="rId10" Type="http://schemas.openxmlformats.org/officeDocument/2006/relationships/hyperlink" Target="http://journal.unhas.ac.id/index.php/fs/article/view/2484" TargetMode="External"/><Relationship Id="rId19" Type="http://schemas.openxmlformats.org/officeDocument/2006/relationships/hyperlink" Target="http://www.osipp.osaka-u.ac.jp/archives/DP/2017/DP2017E007.pdf" TargetMode="External"/><Relationship Id="rId31" Type="http://schemas.openxmlformats.org/officeDocument/2006/relationships/hyperlink" Target="mailto:nvu2@worldbankgroup.org" TargetMode="External"/><Relationship Id="rId4" Type="http://schemas.openxmlformats.org/officeDocument/2006/relationships/settings" Target="settings.xml"/><Relationship Id="rId9" Type="http://schemas.openxmlformats.org/officeDocument/2006/relationships/hyperlink" Target="https://www.researchgate.net/profile/Khuyen_Pham/publication/321148501_GREEN_SUPPLY_CHAIN-SOLUTIONS_TO_IMPROVE_THE_COMPETITIVENESS_OF_THAINGUYEN_TEA/links/5a102f6da6fdccc2d79847ad/GREEN-SUPPLY-CHAIN-SOLUTIONS-TO-IMPROVE-THE-COMPETITIVENESS-OF-THAINGUYEN-TEA.pdf" TargetMode="External"/><Relationship Id="rId14" Type="http://schemas.openxmlformats.org/officeDocument/2006/relationships/hyperlink" Target="http://www.osipp.osaka-u.ac.jp/archives/DP/2017/DP2017E005.pdf" TargetMode="External"/><Relationship Id="rId22" Type="http://schemas.openxmlformats.org/officeDocument/2006/relationships/hyperlink" Target="http://www.mdpi.com/2306-5338/4/4/55" TargetMode="External"/><Relationship Id="rId27" Type="http://schemas.openxmlformats.org/officeDocument/2006/relationships/hyperlink" Target="http://www.sciencedirect.com/science/article/pii/S0160412017309996" TargetMode="External"/><Relationship Id="rId30" Type="http://schemas.openxmlformats.org/officeDocument/2006/relationships/hyperlink" Target="https://digitalcommons.library.tru.ca/cgi/viewcontent.cgi?article=1156&amp;context=cts-proceedings" TargetMode="External"/><Relationship Id="rId35" Type="http://schemas.openxmlformats.org/officeDocument/2006/relationships/hyperlink" Target="http://data.world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36</Pages>
  <Words>13949</Words>
  <Characters>79513</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2017-12-06T16:35:00Z</dcterms:created>
  <dcterms:modified xsi:type="dcterms:W3CDTF">2017-12-06T18:40:00Z</dcterms:modified>
</cp:coreProperties>
</file>